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22" w:rsidRDefault="005A5322">
      <w:pPr>
        <w:pStyle w:val="Titre2"/>
      </w:pPr>
      <w:bookmarkStart w:id="0" w:name="_Toc50798181"/>
      <w:r>
        <w:t>Exercice REACTIK</w:t>
      </w:r>
      <w:bookmarkEnd w:id="0"/>
    </w:p>
    <w:p w:rsidR="005A5322" w:rsidRDefault="005A5322">
      <w:pPr>
        <w:pStyle w:val="Titre3"/>
      </w:pPr>
      <w:r>
        <w:t>I. Introduction</w:t>
      </w:r>
    </w:p>
    <w:p w:rsidR="005A5322" w:rsidRDefault="005A5322">
      <w:r>
        <w:t xml:space="preserve">Dans un monde où les voyages connaissent une expansion régulière, les ventes de valises en carton représentent un enjeu économique important. La société </w:t>
      </w:r>
      <w:r>
        <w:rPr>
          <w:b/>
        </w:rPr>
        <w:t>Reactik</w:t>
      </w:r>
      <w:r>
        <w:t xml:space="preserve"> est le leader européen sur ce marché. </w:t>
      </w:r>
    </w:p>
    <w:p w:rsidR="005A5322" w:rsidRDefault="005A5322">
      <w:r>
        <w:t>Pourtant, après des années de prospérité, Reactik se trouve confrontée à une concurrence de plus en plus forte. Maintenir une position de leader implique de réaliser des progrès spectaculaires dans trois directions :</w:t>
      </w:r>
    </w:p>
    <w:p w:rsidR="005A5322" w:rsidRDefault="005A5322" w:rsidP="005A5322">
      <w:pPr>
        <w:numPr>
          <w:ilvl w:val="0"/>
          <w:numId w:val="3"/>
        </w:numPr>
        <w:tabs>
          <w:tab w:val="num" w:pos="926"/>
        </w:tabs>
        <w:ind w:left="720"/>
      </w:pPr>
      <w:r>
        <w:t xml:space="preserve">Diminuer fortement les </w:t>
      </w:r>
      <w:r>
        <w:rPr>
          <w:i/>
        </w:rPr>
        <w:t>délais de livraison</w:t>
      </w:r>
      <w:r>
        <w:t>.</w:t>
      </w:r>
    </w:p>
    <w:p w:rsidR="005A5322" w:rsidRDefault="005A5322" w:rsidP="005A5322">
      <w:pPr>
        <w:numPr>
          <w:ilvl w:val="0"/>
          <w:numId w:val="3"/>
        </w:numPr>
        <w:tabs>
          <w:tab w:val="num" w:pos="926"/>
        </w:tabs>
        <w:ind w:left="720"/>
      </w:pPr>
      <w:r>
        <w:t xml:space="preserve">Offrir une plus grande </w:t>
      </w:r>
      <w:r>
        <w:rPr>
          <w:i/>
        </w:rPr>
        <w:t>diversité de modèles</w:t>
      </w:r>
      <w:r>
        <w:t>.</w:t>
      </w:r>
    </w:p>
    <w:p w:rsidR="005A5322" w:rsidRDefault="005A5322" w:rsidP="005A5322">
      <w:pPr>
        <w:numPr>
          <w:ilvl w:val="0"/>
          <w:numId w:val="3"/>
        </w:numPr>
        <w:tabs>
          <w:tab w:val="num" w:pos="926"/>
        </w:tabs>
        <w:ind w:left="720"/>
      </w:pPr>
      <w:r>
        <w:t xml:space="preserve">Améliorer la situation financière en réduisant la </w:t>
      </w:r>
      <w:r>
        <w:rPr>
          <w:i/>
        </w:rPr>
        <w:t>trésorerie immobilisée dans les stocks</w:t>
      </w:r>
      <w:r>
        <w:t>.</w:t>
      </w:r>
    </w:p>
    <w:p w:rsidR="005A5322" w:rsidRDefault="005A5322">
      <w:pPr>
        <w:pStyle w:val="Titre4"/>
      </w:pPr>
      <w:r>
        <w:t>I.1. Le processus logistique</w:t>
      </w:r>
    </w:p>
    <w:p w:rsidR="005A5322" w:rsidRDefault="005A5322">
      <w:r>
        <w:t xml:space="preserve">Il est représenté ci-dessous. </w:t>
      </w:r>
    </w:p>
    <w:p w:rsidR="005A5322" w:rsidRDefault="0008042C">
      <w:pPr>
        <w:jc w:val="center"/>
        <w:rPr>
          <w:rFonts w:ascii="Arial" w:hAnsi="Arial"/>
        </w:rPr>
      </w:pPr>
      <w:r>
        <w:rPr>
          <w:rFonts w:ascii="Arial" w:hAnsi="Arial"/>
          <w:noProof/>
        </w:rPr>
        <w:drawing>
          <wp:inline distT="0" distB="0" distL="0" distR="0">
            <wp:extent cx="5076825" cy="1838325"/>
            <wp:effectExtent l="19050" t="0" r="9525" b="0"/>
            <wp:docPr id="1" name="Image 1" descr="react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ik1"/>
                    <pic:cNvPicPr>
                      <a:picLocks noChangeAspect="1" noChangeArrowheads="1"/>
                    </pic:cNvPicPr>
                  </pic:nvPicPr>
                  <pic:blipFill>
                    <a:blip r:embed="rId5" cstate="print"/>
                    <a:srcRect/>
                    <a:stretch>
                      <a:fillRect/>
                    </a:stretch>
                  </pic:blipFill>
                  <pic:spPr bwMode="auto">
                    <a:xfrm>
                      <a:off x="0" y="0"/>
                      <a:ext cx="5076825" cy="1838325"/>
                    </a:xfrm>
                    <a:prstGeom prst="rect">
                      <a:avLst/>
                    </a:prstGeom>
                    <a:noFill/>
                    <a:ln w="9525">
                      <a:noFill/>
                      <a:miter lim="800000"/>
                      <a:headEnd/>
                      <a:tailEnd/>
                    </a:ln>
                  </pic:spPr>
                </pic:pic>
              </a:graphicData>
            </a:graphic>
          </wp:inline>
        </w:drawing>
      </w:r>
    </w:p>
    <w:p w:rsidR="005A5322" w:rsidRDefault="005A5322">
      <w:pPr>
        <w:pStyle w:val="Titre4"/>
      </w:pPr>
      <w:r>
        <w:t>I.2. Les ventes</w:t>
      </w:r>
    </w:p>
    <w:p w:rsidR="005A5322" w:rsidRDefault="005A5322">
      <w:r>
        <w:t xml:space="preserve">L'entreprise vend </w:t>
      </w:r>
      <w:r>
        <w:rPr>
          <w:b/>
        </w:rPr>
        <w:t>1 000</w:t>
      </w:r>
      <w:r>
        <w:t xml:space="preserve"> valises par jour. (il s'agit de jours ouvrables ; on admettra qu'un mois comporte quatre semaines, soit vingt jours ouvrables. Il y a onze mois d'activité dans une année) :</w:t>
      </w:r>
    </w:p>
    <w:p w:rsidR="005A5322" w:rsidRDefault="005A5322" w:rsidP="005A5322">
      <w:pPr>
        <w:numPr>
          <w:ilvl w:val="0"/>
          <w:numId w:val="4"/>
        </w:numPr>
        <w:tabs>
          <w:tab w:val="num" w:pos="709"/>
        </w:tabs>
        <w:ind w:left="714" w:hanging="357"/>
      </w:pPr>
      <w:r>
        <w:t xml:space="preserve">Des </w:t>
      </w:r>
      <w:r>
        <w:rPr>
          <w:i/>
        </w:rPr>
        <w:t>valises standard</w:t>
      </w:r>
      <w:r>
        <w:t>. Ce sont les valises les plus vendues. L'entreprise les tient en stock de façon à livrer très rapidement le client.</w:t>
      </w:r>
    </w:p>
    <w:p w:rsidR="005A5322" w:rsidRDefault="005A5322" w:rsidP="005A5322">
      <w:pPr>
        <w:numPr>
          <w:ilvl w:val="0"/>
          <w:numId w:val="4"/>
        </w:numPr>
        <w:tabs>
          <w:tab w:val="num" w:pos="709"/>
        </w:tabs>
        <w:ind w:left="714" w:hanging="357"/>
      </w:pPr>
      <w:r>
        <w:t xml:space="preserve">Des </w:t>
      </w:r>
      <w:r>
        <w:rPr>
          <w:i/>
        </w:rPr>
        <w:t>valises de luxe</w:t>
      </w:r>
      <w:r>
        <w:t>, qui sont équipées de nombreux accessoires (serrures chromées, poignées de couleurs, cloisons intérieures variées, etc.). Comme les ventes sont faibles, les valises de luxe ne sont produites qu'à la commande.</w:t>
      </w:r>
    </w:p>
    <w:p w:rsidR="005A5322" w:rsidRDefault="005A5322">
      <w:pPr>
        <w:pStyle w:val="Titre3"/>
      </w:pPr>
      <w:r>
        <w:br w:type="page"/>
      </w:r>
      <w:r>
        <w:lastRenderedPageBreak/>
        <w:t>II. Tracez les flux</w:t>
      </w:r>
    </w:p>
    <w:p w:rsidR="005A5322" w:rsidRDefault="005A5322">
      <w:r>
        <w:t xml:space="preserve">En vous référant aux données du tableau ci-dessous, vous tracerez les flux physiques et les flux d'informations sur le schéma en annexe. </w:t>
      </w:r>
    </w:p>
    <w:p w:rsidR="005A5322" w:rsidRDefault="005A5322">
      <w:pPr>
        <w:pStyle w:val="Retraitcorpsdetexte"/>
        <w:numPr>
          <w:ilvl w:val="0"/>
          <w:numId w:val="1"/>
        </w:numPr>
        <w:rPr>
          <w:rFonts w:ascii="Times New Roman" w:hAnsi="Times New Roman"/>
          <w:sz w:val="24"/>
        </w:rPr>
      </w:pPr>
      <w:r>
        <w:rPr>
          <w:rFonts w:ascii="Times New Roman" w:hAnsi="Times New Roman"/>
          <w:sz w:val="24"/>
        </w:rPr>
        <w:t>Tracez les flux physiques en trait plein et les flux d'informations en pointillés. Respectez les conventions de couleur.</w:t>
      </w:r>
    </w:p>
    <w:p w:rsidR="005A5322" w:rsidRDefault="005A5322">
      <w:pPr>
        <w:numPr>
          <w:ilvl w:val="0"/>
          <w:numId w:val="1"/>
        </w:numPr>
        <w:spacing w:before="60"/>
      </w:pPr>
      <w:r>
        <w:t>Pour plus de clarté, tracez des lignes horizontales et verticales.</w:t>
      </w:r>
    </w:p>
    <w:p w:rsidR="005A5322" w:rsidRDefault="005A5322">
      <w:pPr>
        <w:numPr>
          <w:ilvl w:val="0"/>
          <w:numId w:val="1"/>
        </w:numPr>
        <w:spacing w:before="60"/>
      </w:pPr>
      <w:r>
        <w:t>Quand deux flux empruntent le même chemin, tracez-les côte à côte avec leurs couleurs respectives.</w:t>
      </w:r>
    </w:p>
    <w:p w:rsidR="005A5322" w:rsidRDefault="005A5322">
      <w:pPr>
        <w:numPr>
          <w:ilvl w:val="0"/>
          <w:numId w:val="1"/>
        </w:numPr>
        <w:spacing w:before="60"/>
      </w:pPr>
      <w:r>
        <w:t xml:space="preserve">Ne vous préoccupez pas pour le moment des o et des </w:t>
      </w:r>
      <w:r>
        <w:t> dont la signification apparaîtra plus loin.</w:t>
      </w:r>
    </w:p>
    <w:p w:rsidR="005A5322" w:rsidRDefault="0008042C">
      <w:pPr>
        <w:jc w:val="center"/>
      </w:pPr>
      <w:r>
        <w:rPr>
          <w:noProof/>
        </w:rPr>
        <w:drawing>
          <wp:inline distT="0" distB="0" distL="0" distR="0">
            <wp:extent cx="2400300" cy="885825"/>
            <wp:effectExtent l="19050" t="0" r="0" b="0"/>
            <wp:docPr id="2" name="Image 2" descr="react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ctik2"/>
                    <pic:cNvPicPr>
                      <a:picLocks noChangeAspect="1" noChangeArrowheads="1"/>
                    </pic:cNvPicPr>
                  </pic:nvPicPr>
                  <pic:blipFill>
                    <a:blip r:embed="rId6" cstate="print"/>
                    <a:srcRect/>
                    <a:stretch>
                      <a:fillRect/>
                    </a:stretch>
                  </pic:blipFill>
                  <pic:spPr bwMode="auto">
                    <a:xfrm>
                      <a:off x="0" y="0"/>
                      <a:ext cx="2400300" cy="885825"/>
                    </a:xfrm>
                    <a:prstGeom prst="rect">
                      <a:avLst/>
                    </a:prstGeom>
                    <a:noFill/>
                    <a:ln w="9525">
                      <a:noFill/>
                      <a:miter lim="800000"/>
                      <a:headEnd/>
                      <a:tailEnd/>
                    </a:ln>
                  </pic:spPr>
                </pic:pic>
              </a:graphicData>
            </a:graphic>
          </wp:inline>
        </w:drawing>
      </w:r>
    </w:p>
    <w:tbl>
      <w:tblPr>
        <w:tblW w:w="0" w:type="auto"/>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4819"/>
        <w:gridCol w:w="4820"/>
      </w:tblGrid>
      <w:tr w:rsidR="005A5322">
        <w:tblPrEx>
          <w:tblCellMar>
            <w:top w:w="0" w:type="dxa"/>
            <w:bottom w:w="0" w:type="dxa"/>
          </w:tblCellMar>
        </w:tblPrEx>
        <w:tc>
          <w:tcPr>
            <w:tcW w:w="4819" w:type="dxa"/>
          </w:tcPr>
          <w:p w:rsidR="005A5322" w:rsidRDefault="005A5322">
            <w:pPr>
              <w:jc w:val="center"/>
            </w:pPr>
            <w:r>
              <w:rPr>
                <w:rFonts w:ascii="Arial" w:hAnsi="Arial"/>
                <w:b/>
              </w:rPr>
              <w:t>FLUX D'INFORMATIONS</w:t>
            </w:r>
          </w:p>
        </w:tc>
        <w:tc>
          <w:tcPr>
            <w:tcW w:w="4820" w:type="dxa"/>
          </w:tcPr>
          <w:p w:rsidR="005A5322" w:rsidRDefault="005A5322">
            <w:pPr>
              <w:jc w:val="center"/>
            </w:pPr>
            <w:r>
              <w:rPr>
                <w:rFonts w:ascii="Arial" w:hAnsi="Arial"/>
                <w:b/>
              </w:rPr>
              <w:t>FLUX PHYSIQUES</w:t>
            </w:r>
          </w:p>
        </w:tc>
      </w:tr>
      <w:tr w:rsidR="005A5322">
        <w:tblPrEx>
          <w:tblCellMar>
            <w:top w:w="0" w:type="dxa"/>
            <w:bottom w:w="0" w:type="dxa"/>
          </w:tblCellMar>
        </w:tblPrEx>
        <w:tc>
          <w:tcPr>
            <w:tcW w:w="4819" w:type="dxa"/>
          </w:tcPr>
          <w:p w:rsidR="005A5322" w:rsidRDefault="005A5322">
            <w:pPr>
              <w:spacing w:before="60"/>
              <w:rPr>
                <w:rFonts w:ascii="Arial" w:hAnsi="Arial"/>
                <w:b/>
              </w:rPr>
            </w:pPr>
            <w:r>
              <w:rPr>
                <w:rFonts w:ascii="Arial" w:hAnsi="Arial"/>
                <w:b/>
              </w:rPr>
              <w:t>Livraison des valises standard</w:t>
            </w:r>
            <w:r w:rsidR="00BD566E">
              <w:rPr>
                <w:rFonts w:ascii="Arial" w:hAnsi="Arial"/>
                <w:b/>
              </w:rPr>
              <w:t>s</w:t>
            </w:r>
            <w:r>
              <w:rPr>
                <w:rFonts w:ascii="Arial" w:hAnsi="Arial"/>
                <w:b/>
              </w:rPr>
              <w:t xml:space="preserve"> : vert</w:t>
            </w:r>
          </w:p>
          <w:p w:rsidR="005A5322" w:rsidRDefault="005A5322">
            <w:pPr>
              <w:spacing w:before="60"/>
            </w:pPr>
            <w:r>
              <w:rPr>
                <w:rFonts w:ascii="Arial" w:hAnsi="Arial"/>
              </w:rPr>
              <w:t>La commande du client arrive par courrier (a). Elle est traitée par le bureau des commandes (b) puis transmise au magasin des produits finis pour livraison.</w:t>
            </w:r>
          </w:p>
        </w:tc>
        <w:tc>
          <w:tcPr>
            <w:tcW w:w="4820" w:type="dxa"/>
          </w:tcPr>
          <w:p w:rsidR="005A5322" w:rsidRDefault="005A5322">
            <w:pPr>
              <w:spacing w:before="60"/>
              <w:rPr>
                <w:rFonts w:ascii="Arial" w:hAnsi="Arial"/>
                <w:b/>
              </w:rPr>
            </w:pPr>
            <w:r>
              <w:rPr>
                <w:rFonts w:ascii="Arial" w:hAnsi="Arial"/>
                <w:b/>
              </w:rPr>
              <w:t>Livraison des valises standard</w:t>
            </w:r>
            <w:r w:rsidR="00BD566E">
              <w:rPr>
                <w:rFonts w:ascii="Arial" w:hAnsi="Arial"/>
                <w:b/>
              </w:rPr>
              <w:t>s</w:t>
            </w:r>
            <w:r>
              <w:rPr>
                <w:rFonts w:ascii="Arial" w:hAnsi="Arial"/>
                <w:b/>
              </w:rPr>
              <w:t> : vert</w:t>
            </w:r>
          </w:p>
          <w:p w:rsidR="005A5322" w:rsidRDefault="005A5322">
            <w:pPr>
              <w:spacing w:before="60"/>
            </w:pPr>
            <w:r>
              <w:rPr>
                <w:rFonts w:ascii="Arial" w:hAnsi="Arial"/>
              </w:rPr>
              <w:t>Les valises sont sorties du stock pour aller vers la zone d'expédition (11). Elles sont transportées par camion (12) vers des plate-formes régionales (13), avant d'être livrées par camionnette (14) dans les magasins du centre ville.</w:t>
            </w:r>
          </w:p>
        </w:tc>
      </w:tr>
      <w:tr w:rsidR="005A5322">
        <w:tblPrEx>
          <w:tblCellMar>
            <w:top w:w="0" w:type="dxa"/>
            <w:bottom w:w="0" w:type="dxa"/>
          </w:tblCellMar>
        </w:tblPrEx>
        <w:tc>
          <w:tcPr>
            <w:tcW w:w="4819" w:type="dxa"/>
          </w:tcPr>
          <w:p w:rsidR="005A5322" w:rsidRDefault="005A5322">
            <w:pPr>
              <w:spacing w:before="60"/>
              <w:rPr>
                <w:rFonts w:ascii="Arial" w:hAnsi="Arial"/>
                <w:b/>
              </w:rPr>
            </w:pPr>
            <w:r>
              <w:rPr>
                <w:rFonts w:ascii="Arial" w:hAnsi="Arial"/>
                <w:b/>
              </w:rPr>
              <w:t>Fabrication des valises standards : bleu</w:t>
            </w:r>
          </w:p>
          <w:p w:rsidR="005A5322" w:rsidRDefault="005A5322">
            <w:pPr>
              <w:spacing w:before="60"/>
            </w:pPr>
            <w:r>
              <w:rPr>
                <w:rFonts w:ascii="Arial" w:hAnsi="Arial"/>
              </w:rPr>
              <w:t>Le bureau du magasin de produits finis surveille le stock. Quand le stock descend en dessous d'un niveau minimum, il prévient le service lancement (c). Celui-ci prépare le dossier de fabrication et le transmet au bureau du magasin de matières premières.</w:t>
            </w:r>
          </w:p>
        </w:tc>
        <w:tc>
          <w:tcPr>
            <w:tcW w:w="4820" w:type="dxa"/>
          </w:tcPr>
          <w:p w:rsidR="005A5322" w:rsidRDefault="005A5322">
            <w:pPr>
              <w:spacing w:before="60"/>
              <w:rPr>
                <w:rFonts w:ascii="Arial" w:hAnsi="Arial"/>
                <w:b/>
              </w:rPr>
            </w:pPr>
            <w:r>
              <w:rPr>
                <w:rFonts w:ascii="Arial" w:hAnsi="Arial"/>
                <w:b/>
              </w:rPr>
              <w:t>Fabrication des valises standard</w:t>
            </w:r>
            <w:r w:rsidR="00BD566E">
              <w:rPr>
                <w:rFonts w:ascii="Arial" w:hAnsi="Arial"/>
                <w:b/>
              </w:rPr>
              <w:t>s</w:t>
            </w:r>
            <w:r>
              <w:rPr>
                <w:rFonts w:ascii="Arial" w:hAnsi="Arial"/>
                <w:b/>
              </w:rPr>
              <w:t xml:space="preserve"> : bleu</w:t>
            </w:r>
          </w:p>
          <w:p w:rsidR="005A5322" w:rsidRDefault="005A5322">
            <w:pPr>
              <w:spacing w:before="60"/>
            </w:pPr>
            <w:r>
              <w:rPr>
                <w:rFonts w:ascii="Arial" w:hAnsi="Arial"/>
              </w:rPr>
              <w:t>Les bobines de carton sont sorties du magasin (4) puis débitées en plaques (5). Celles-ci sont transférées par chariot (6) vers l'atelier de vernis (7), puis ramenées (8) vers l'atelier de montage (9). Un contrôle (10) permet de vérifier leur qualité avant de les stocker.</w:t>
            </w:r>
          </w:p>
        </w:tc>
      </w:tr>
      <w:tr w:rsidR="005A5322">
        <w:tblPrEx>
          <w:tblCellMar>
            <w:top w:w="0" w:type="dxa"/>
            <w:bottom w:w="0" w:type="dxa"/>
          </w:tblCellMar>
        </w:tblPrEx>
        <w:tc>
          <w:tcPr>
            <w:tcW w:w="4819" w:type="dxa"/>
          </w:tcPr>
          <w:p w:rsidR="005A5322" w:rsidRDefault="005A5322">
            <w:pPr>
              <w:spacing w:before="60"/>
              <w:rPr>
                <w:rFonts w:ascii="Arial" w:hAnsi="Arial"/>
                <w:b/>
              </w:rPr>
            </w:pPr>
            <w:r>
              <w:rPr>
                <w:rFonts w:ascii="Arial" w:hAnsi="Arial"/>
                <w:b/>
              </w:rPr>
              <w:t>Livraison des valises de luxe : rouge</w:t>
            </w:r>
          </w:p>
          <w:p w:rsidR="005A5322" w:rsidRDefault="005A5322">
            <w:pPr>
              <w:spacing w:before="60"/>
            </w:pPr>
            <w:r>
              <w:rPr>
                <w:rFonts w:ascii="Arial" w:hAnsi="Arial"/>
              </w:rPr>
              <w:t>La commande du client arrive par courrier (a). Elle est traitée par le bureau des commandes (b) puis transmise au service lancement (c). Celui-ci prépare le dossier de fabrication et le transmet au bureau du magasin de matières premières.</w:t>
            </w:r>
          </w:p>
        </w:tc>
        <w:tc>
          <w:tcPr>
            <w:tcW w:w="4820" w:type="dxa"/>
          </w:tcPr>
          <w:p w:rsidR="005A5322" w:rsidRDefault="005A5322">
            <w:pPr>
              <w:spacing w:before="60"/>
              <w:rPr>
                <w:rFonts w:ascii="Arial" w:hAnsi="Arial"/>
                <w:b/>
              </w:rPr>
            </w:pPr>
            <w:r>
              <w:rPr>
                <w:rFonts w:ascii="Arial" w:hAnsi="Arial"/>
                <w:b/>
              </w:rPr>
              <w:t>Fabrication et livraison des valises de luxe : rouge</w:t>
            </w:r>
          </w:p>
          <w:p w:rsidR="005A5322" w:rsidRDefault="005A5322">
            <w:pPr>
              <w:spacing w:before="60"/>
            </w:pPr>
            <w:r>
              <w:rPr>
                <w:rFonts w:ascii="Arial" w:hAnsi="Arial"/>
              </w:rPr>
              <w:t xml:space="preserve">Le circuit comporte l'ensemble </w:t>
            </w:r>
            <w:r>
              <w:rPr>
                <w:rFonts w:ascii="Arial" w:hAnsi="Arial"/>
                <w:i/>
              </w:rPr>
              <w:t>fabrication + livraison</w:t>
            </w:r>
            <w:r>
              <w:rPr>
                <w:rFonts w:ascii="Arial" w:hAnsi="Arial"/>
              </w:rPr>
              <w:t xml:space="preserve"> décrit précédemment. La seule différence est que les valises de luxe ne sont pas stockées : après le contrôle (10) elles vont directement dans la zone d'expédition (11).</w:t>
            </w:r>
          </w:p>
        </w:tc>
      </w:tr>
      <w:tr w:rsidR="005A5322">
        <w:tblPrEx>
          <w:tblCellMar>
            <w:top w:w="0" w:type="dxa"/>
            <w:bottom w:w="0" w:type="dxa"/>
          </w:tblCellMar>
        </w:tblPrEx>
        <w:tc>
          <w:tcPr>
            <w:tcW w:w="4819" w:type="dxa"/>
          </w:tcPr>
          <w:p w:rsidR="005A5322" w:rsidRDefault="005A5322">
            <w:pPr>
              <w:spacing w:before="60"/>
              <w:rPr>
                <w:rFonts w:ascii="Arial" w:hAnsi="Arial"/>
                <w:b/>
              </w:rPr>
            </w:pPr>
            <w:r>
              <w:rPr>
                <w:rFonts w:ascii="Arial" w:hAnsi="Arial"/>
                <w:b/>
              </w:rPr>
              <w:t>Approvisionnement : orange</w:t>
            </w:r>
          </w:p>
          <w:p w:rsidR="005A5322" w:rsidRDefault="005A5322">
            <w:pPr>
              <w:spacing w:before="60"/>
            </w:pPr>
            <w:r>
              <w:rPr>
                <w:rFonts w:ascii="Arial" w:hAnsi="Arial"/>
              </w:rPr>
              <w:t>Quand le stock des matières descend en dessous d'un niveau minimum, le bureau du magasin prévient le service achats (d). Celui-ci établit une commande et la transmet au fournisseur.</w:t>
            </w:r>
          </w:p>
        </w:tc>
        <w:tc>
          <w:tcPr>
            <w:tcW w:w="4820" w:type="dxa"/>
          </w:tcPr>
          <w:p w:rsidR="005A5322" w:rsidRDefault="005A5322">
            <w:pPr>
              <w:spacing w:before="60"/>
              <w:rPr>
                <w:rFonts w:ascii="Arial" w:hAnsi="Arial"/>
                <w:b/>
              </w:rPr>
            </w:pPr>
            <w:r>
              <w:rPr>
                <w:rFonts w:ascii="Arial" w:hAnsi="Arial"/>
                <w:b/>
              </w:rPr>
              <w:t>Approvisionnement : orange</w:t>
            </w:r>
          </w:p>
          <w:p w:rsidR="005A5322" w:rsidRDefault="005A5322">
            <w:pPr>
              <w:spacing w:before="60"/>
            </w:pPr>
            <w:r>
              <w:rPr>
                <w:rFonts w:ascii="Arial" w:hAnsi="Arial"/>
              </w:rPr>
              <w:t>Le fournisseur (1) livre par camion (2) les cartons et les accessoires à l'usine. Après un contrôle de la qualité (3) les marchandises sont stockées dans le magasin de matières premières.</w:t>
            </w:r>
          </w:p>
        </w:tc>
      </w:tr>
    </w:tbl>
    <w:p w:rsidR="005A5322" w:rsidRDefault="005A5322">
      <w:pPr>
        <w:pStyle w:val="Titre3"/>
      </w:pPr>
      <w:r>
        <w:br w:type="page"/>
      </w:r>
      <w:r>
        <w:lastRenderedPageBreak/>
        <w:t>III. Calculez les délais et valorisez les stocks</w:t>
      </w:r>
    </w:p>
    <w:p w:rsidR="005A5322" w:rsidRDefault="005A5322">
      <w:pPr>
        <w:pStyle w:val="Titre4"/>
      </w:pPr>
      <w:r>
        <w:t>III.1. Les délais de livraison et de fabrication</w:t>
      </w:r>
    </w:p>
    <w:p w:rsidR="005A5322" w:rsidRDefault="005A5322">
      <w:r>
        <w:t xml:space="preserve">Pour calculer les délais, on se réfèrera </w:t>
      </w:r>
      <w:r w:rsidR="009F3A0F">
        <w:t>au schéma présenté en annexe</w:t>
      </w:r>
      <w:r>
        <w:t>.</w:t>
      </w:r>
    </w:p>
    <w:p w:rsidR="005A5322" w:rsidRDefault="005A5322">
      <w:pPr>
        <w:numPr>
          <w:ilvl w:val="0"/>
          <w:numId w:val="2"/>
        </w:numPr>
      </w:pPr>
      <w:r>
        <w:t xml:space="preserve">Sur le flux d'information, un </w:t>
      </w:r>
      <w:r>
        <w:rPr>
          <w:i/>
        </w:rPr>
        <w:t>rond</w:t>
      </w:r>
      <w:r>
        <w:t xml:space="preserve"> représente </w:t>
      </w:r>
      <w:r>
        <w:rPr>
          <w:i/>
        </w:rPr>
        <w:t>un jour de délai</w:t>
      </w:r>
      <w:r>
        <w:t>. Par exemple, le traitement des commandes (poste b) nécessite 5 jours.</w:t>
      </w:r>
    </w:p>
    <w:p w:rsidR="005A5322" w:rsidRDefault="005A5322">
      <w:pPr>
        <w:numPr>
          <w:ilvl w:val="0"/>
          <w:numId w:val="2"/>
        </w:numPr>
        <w:spacing w:after="120"/>
      </w:pPr>
      <w:r>
        <w:t xml:space="preserve">Sur le flux physique, un carré représente 1 000 valises. Par exemple, au vernis, il y a 6 000 valises </w:t>
      </w:r>
      <w:r>
        <w:rPr>
          <w:i/>
        </w:rPr>
        <w:t>en attente ou en cours de traitement</w:t>
      </w:r>
      <w:r>
        <w:t xml:space="preserve">. Comme la production est de 1 000 valises par jour, le temps de passage d'une valise est de 6 jours. </w:t>
      </w:r>
    </w:p>
    <w:tbl>
      <w:tblPr>
        <w:tblW w:w="0" w:type="auto"/>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739"/>
        <w:gridCol w:w="1940"/>
        <w:gridCol w:w="1940"/>
        <w:gridCol w:w="2217"/>
        <w:gridCol w:w="2402"/>
      </w:tblGrid>
      <w:tr w:rsidR="005A5322" w:rsidRPr="0092642F">
        <w:tblPrEx>
          <w:tblCellMar>
            <w:top w:w="0" w:type="dxa"/>
            <w:bottom w:w="0" w:type="dxa"/>
          </w:tblCellMar>
        </w:tblPrEx>
        <w:tc>
          <w:tcPr>
            <w:tcW w:w="739" w:type="dxa"/>
          </w:tcPr>
          <w:p w:rsidR="005A5322" w:rsidRPr="0092642F" w:rsidRDefault="005A5322">
            <w:pPr>
              <w:spacing w:before="60" w:after="60"/>
              <w:rPr>
                <w:rFonts w:ascii="Arial" w:hAnsi="Arial"/>
                <w:sz w:val="22"/>
                <w:szCs w:val="22"/>
              </w:rPr>
            </w:pPr>
            <w:r w:rsidRPr="0092642F">
              <w:rPr>
                <w:rFonts w:ascii="Arial" w:hAnsi="Arial"/>
                <w:sz w:val="22"/>
                <w:szCs w:val="22"/>
              </w:rPr>
              <w:t> </w:t>
            </w:r>
          </w:p>
        </w:tc>
        <w:tc>
          <w:tcPr>
            <w:tcW w:w="1940" w:type="dxa"/>
          </w:tcPr>
          <w:p w:rsidR="005A5322" w:rsidRPr="0092642F" w:rsidRDefault="005A5322">
            <w:pPr>
              <w:spacing w:before="60" w:after="60"/>
              <w:jc w:val="center"/>
              <w:rPr>
                <w:rFonts w:ascii="Arial" w:hAnsi="Arial"/>
                <w:sz w:val="22"/>
                <w:szCs w:val="22"/>
              </w:rPr>
            </w:pPr>
            <w:r w:rsidRPr="0092642F">
              <w:rPr>
                <w:rFonts w:ascii="Arial" w:hAnsi="Arial"/>
                <w:sz w:val="22"/>
                <w:szCs w:val="22"/>
              </w:rPr>
              <w:t>Livraison d'une valise standard</w:t>
            </w:r>
          </w:p>
        </w:tc>
        <w:tc>
          <w:tcPr>
            <w:tcW w:w="1940" w:type="dxa"/>
          </w:tcPr>
          <w:p w:rsidR="005A5322" w:rsidRPr="0092642F" w:rsidRDefault="005A5322">
            <w:pPr>
              <w:spacing w:before="60" w:after="60"/>
              <w:jc w:val="center"/>
              <w:rPr>
                <w:rFonts w:ascii="Arial" w:hAnsi="Arial"/>
                <w:sz w:val="22"/>
                <w:szCs w:val="22"/>
              </w:rPr>
            </w:pPr>
            <w:r w:rsidRPr="0092642F">
              <w:rPr>
                <w:rFonts w:ascii="Arial" w:hAnsi="Arial"/>
                <w:sz w:val="22"/>
                <w:szCs w:val="22"/>
              </w:rPr>
              <w:t>Livraison d'une valise de luxe</w:t>
            </w:r>
          </w:p>
        </w:tc>
        <w:tc>
          <w:tcPr>
            <w:tcW w:w="2217" w:type="dxa"/>
          </w:tcPr>
          <w:p w:rsidR="005A5322" w:rsidRPr="0092642F" w:rsidRDefault="005A5322">
            <w:pPr>
              <w:spacing w:before="60" w:after="60"/>
              <w:jc w:val="center"/>
              <w:rPr>
                <w:rFonts w:ascii="Arial" w:hAnsi="Arial"/>
                <w:sz w:val="22"/>
                <w:szCs w:val="22"/>
              </w:rPr>
            </w:pPr>
            <w:r w:rsidRPr="0092642F">
              <w:rPr>
                <w:rFonts w:ascii="Arial" w:hAnsi="Arial"/>
                <w:sz w:val="22"/>
                <w:szCs w:val="22"/>
              </w:rPr>
              <w:t xml:space="preserve">Livraison d'une valise spéciale ** </w:t>
            </w:r>
          </w:p>
        </w:tc>
        <w:tc>
          <w:tcPr>
            <w:tcW w:w="2402" w:type="dxa"/>
          </w:tcPr>
          <w:p w:rsidR="005A5322" w:rsidRPr="0092642F" w:rsidRDefault="005A5322">
            <w:pPr>
              <w:spacing w:before="60" w:after="60"/>
              <w:jc w:val="center"/>
              <w:rPr>
                <w:rFonts w:ascii="Arial" w:hAnsi="Arial"/>
                <w:sz w:val="22"/>
                <w:szCs w:val="22"/>
              </w:rPr>
            </w:pPr>
            <w:r w:rsidRPr="0092642F">
              <w:rPr>
                <w:rFonts w:ascii="Arial" w:hAnsi="Arial"/>
                <w:sz w:val="22"/>
                <w:szCs w:val="22"/>
              </w:rPr>
              <w:t>Fabrication de valises standard</w:t>
            </w:r>
            <w:r w:rsidR="008D099B" w:rsidRPr="0092642F">
              <w:rPr>
                <w:rFonts w:ascii="Arial" w:hAnsi="Arial"/>
                <w:sz w:val="22"/>
                <w:szCs w:val="22"/>
              </w:rPr>
              <w:t>s</w:t>
            </w:r>
          </w:p>
        </w:tc>
      </w:tr>
      <w:tr w:rsidR="005A5322" w:rsidRPr="0092642F">
        <w:tblPrEx>
          <w:tblCellMar>
            <w:top w:w="0" w:type="dxa"/>
            <w:bottom w:w="0" w:type="dxa"/>
          </w:tblCellMar>
        </w:tblPrEx>
        <w:tc>
          <w:tcPr>
            <w:tcW w:w="739" w:type="dxa"/>
          </w:tcPr>
          <w:p w:rsidR="005A5322" w:rsidRPr="0092642F" w:rsidRDefault="005A5322">
            <w:pPr>
              <w:spacing w:before="60" w:after="60"/>
              <w:rPr>
                <w:rFonts w:ascii="Arial" w:hAnsi="Arial"/>
                <w:sz w:val="22"/>
                <w:szCs w:val="22"/>
              </w:rPr>
            </w:pPr>
            <w:r w:rsidRPr="0092642F">
              <w:rPr>
                <w:rFonts w:ascii="Arial" w:hAnsi="Arial"/>
                <w:sz w:val="22"/>
                <w:szCs w:val="22"/>
              </w:rPr>
              <w:t>Délai</w:t>
            </w:r>
          </w:p>
        </w:tc>
        <w:tc>
          <w:tcPr>
            <w:tcW w:w="1940" w:type="dxa"/>
          </w:tcPr>
          <w:p w:rsidR="005A5322" w:rsidRPr="0092642F" w:rsidRDefault="005A5322">
            <w:pPr>
              <w:spacing w:before="60" w:after="60"/>
              <w:rPr>
                <w:rFonts w:ascii="Arial" w:hAnsi="Arial"/>
                <w:sz w:val="22"/>
                <w:szCs w:val="22"/>
              </w:rPr>
            </w:pPr>
            <w:r w:rsidRPr="0092642F">
              <w:rPr>
                <w:rFonts w:ascii="Arial" w:hAnsi="Arial"/>
                <w:sz w:val="22"/>
                <w:szCs w:val="22"/>
              </w:rPr>
              <w:t> </w:t>
            </w:r>
          </w:p>
        </w:tc>
        <w:tc>
          <w:tcPr>
            <w:tcW w:w="1940" w:type="dxa"/>
          </w:tcPr>
          <w:p w:rsidR="005A5322" w:rsidRPr="0092642F" w:rsidRDefault="005A5322">
            <w:pPr>
              <w:spacing w:before="60" w:after="60"/>
              <w:rPr>
                <w:rFonts w:ascii="Arial" w:hAnsi="Arial"/>
                <w:sz w:val="22"/>
                <w:szCs w:val="22"/>
              </w:rPr>
            </w:pPr>
            <w:r w:rsidRPr="0092642F">
              <w:rPr>
                <w:rFonts w:ascii="Arial" w:hAnsi="Arial"/>
                <w:sz w:val="22"/>
                <w:szCs w:val="22"/>
              </w:rPr>
              <w:t> </w:t>
            </w:r>
          </w:p>
        </w:tc>
        <w:tc>
          <w:tcPr>
            <w:tcW w:w="2217" w:type="dxa"/>
          </w:tcPr>
          <w:p w:rsidR="005A5322" w:rsidRPr="0092642F" w:rsidRDefault="005A5322">
            <w:pPr>
              <w:spacing w:before="60" w:after="60"/>
              <w:rPr>
                <w:rFonts w:ascii="Arial" w:hAnsi="Arial"/>
                <w:sz w:val="22"/>
                <w:szCs w:val="22"/>
              </w:rPr>
            </w:pPr>
            <w:r w:rsidRPr="0092642F">
              <w:rPr>
                <w:rFonts w:ascii="Arial" w:hAnsi="Arial"/>
                <w:sz w:val="22"/>
                <w:szCs w:val="22"/>
              </w:rPr>
              <w:t> </w:t>
            </w:r>
          </w:p>
        </w:tc>
        <w:tc>
          <w:tcPr>
            <w:tcW w:w="2402" w:type="dxa"/>
          </w:tcPr>
          <w:p w:rsidR="005A5322" w:rsidRPr="0092642F" w:rsidRDefault="005A5322">
            <w:pPr>
              <w:spacing w:before="60" w:after="60"/>
              <w:rPr>
                <w:rFonts w:ascii="Arial" w:hAnsi="Arial"/>
                <w:sz w:val="22"/>
                <w:szCs w:val="22"/>
              </w:rPr>
            </w:pPr>
            <w:r w:rsidRPr="0092642F">
              <w:rPr>
                <w:rFonts w:ascii="Arial" w:hAnsi="Arial"/>
                <w:sz w:val="22"/>
                <w:szCs w:val="22"/>
              </w:rPr>
              <w:t> </w:t>
            </w:r>
          </w:p>
        </w:tc>
      </w:tr>
    </w:tbl>
    <w:p w:rsidR="005A5322" w:rsidRDefault="005A5322">
      <w:r>
        <w:t xml:space="preserve">* En réalité, les valises ne sont pas encore terminées à ce stade. L'expression </w:t>
      </w:r>
      <w:r>
        <w:rPr>
          <w:i/>
        </w:rPr>
        <w:t>1 000 valises</w:t>
      </w:r>
      <w:r>
        <w:t xml:space="preserve"> est une simplification de langage. Elle désigne 1 000 valises " inachevées ". De même dans le stock de matière première : un carré représente la matière nécessaire pour produire 1 000 valises.</w:t>
      </w:r>
    </w:p>
    <w:p w:rsidR="005A5322" w:rsidRDefault="005A5322">
      <w:r>
        <w:t xml:space="preserve">** Il s'agit d'une valise réalisée à partir d'une </w:t>
      </w:r>
      <w:r>
        <w:rPr>
          <w:i/>
        </w:rPr>
        <w:t>matière première spéciale</w:t>
      </w:r>
      <w:r>
        <w:t xml:space="preserve"> qui n'est pas habituellement tenue en stock.</w:t>
      </w:r>
    </w:p>
    <w:p w:rsidR="005A5322" w:rsidRDefault="005A5322">
      <w:pPr>
        <w:pStyle w:val="Titre4"/>
      </w:pPr>
      <w:r>
        <w:t>III.2. Chiffrez la trésorerie immobilisée dans les stocks</w:t>
      </w:r>
    </w:p>
    <w:p w:rsidR="005A5322" w:rsidRDefault="005A5322">
      <w:r>
        <w:t>On considérera que :</w:t>
      </w:r>
    </w:p>
    <w:p w:rsidR="005A5322" w:rsidRDefault="005A5322" w:rsidP="005A5322">
      <w:pPr>
        <w:numPr>
          <w:ilvl w:val="0"/>
          <w:numId w:val="5"/>
        </w:numPr>
        <w:tabs>
          <w:tab w:val="num" w:pos="709"/>
        </w:tabs>
        <w:ind w:left="714" w:hanging="357"/>
      </w:pPr>
      <w:r>
        <w:t>la matière première n'appartient à Reactik qu'après le contrôle de réception (3),</w:t>
      </w:r>
    </w:p>
    <w:p w:rsidR="005A5322" w:rsidRDefault="005A5322" w:rsidP="005A5322">
      <w:pPr>
        <w:numPr>
          <w:ilvl w:val="0"/>
          <w:numId w:val="5"/>
        </w:numPr>
        <w:tabs>
          <w:tab w:val="num" w:pos="709"/>
        </w:tabs>
        <w:ind w:left="714" w:hanging="357"/>
      </w:pPr>
      <w:r>
        <w:t>les produits finis demeurent la propriété de Reactik jusqu'à la livraison chez le client.</w:t>
      </w:r>
    </w:p>
    <w:p w:rsidR="005A5322" w:rsidRDefault="005A5322" w:rsidP="005A5322">
      <w:pPr>
        <w:numPr>
          <w:ilvl w:val="0"/>
          <w:numId w:val="5"/>
        </w:numPr>
        <w:tabs>
          <w:tab w:val="num" w:pos="709"/>
        </w:tabs>
        <w:ind w:left="714" w:hanging="357"/>
      </w:pPr>
      <w:r>
        <w:t>Le niveau de stock en magasin est représenté sur le dessin précédent (un carré correspond à 1 000 unités).</w:t>
      </w:r>
    </w:p>
    <w:p w:rsidR="005A5322" w:rsidRDefault="005A5322">
      <w:pPr>
        <w:ind w:left="360"/>
        <w:rPr>
          <w:rFonts w:ascii="Arial" w:hAnsi="Arial"/>
        </w:rPr>
      </w:pPr>
      <w:r>
        <w:rPr>
          <w:rFonts w:ascii="Arial" w:hAnsi="Arial"/>
        </w:rPr>
        <w:t> </w:t>
      </w:r>
    </w:p>
    <w:tbl>
      <w:tblPr>
        <w:tblW w:w="0" w:type="auto"/>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2328"/>
        <w:gridCol w:w="1253"/>
        <w:gridCol w:w="1432"/>
        <w:gridCol w:w="1253"/>
        <w:gridCol w:w="1432"/>
        <w:gridCol w:w="1253"/>
      </w:tblGrid>
      <w:tr w:rsidR="005A5322" w:rsidRPr="0092642F">
        <w:tblPrEx>
          <w:tblCellMar>
            <w:top w:w="0" w:type="dxa"/>
            <w:bottom w:w="0" w:type="dxa"/>
          </w:tblCellMar>
        </w:tblPrEx>
        <w:tc>
          <w:tcPr>
            <w:tcW w:w="2328" w:type="dxa"/>
          </w:tcPr>
          <w:p w:rsidR="005A5322" w:rsidRPr="0092642F" w:rsidRDefault="005A5322">
            <w:pPr>
              <w:spacing w:before="60" w:after="60"/>
              <w:rPr>
                <w:sz w:val="22"/>
                <w:szCs w:val="22"/>
              </w:rPr>
            </w:pPr>
          </w:p>
        </w:tc>
        <w:tc>
          <w:tcPr>
            <w:tcW w:w="1253" w:type="dxa"/>
          </w:tcPr>
          <w:p w:rsidR="005A5322" w:rsidRPr="0092642F" w:rsidRDefault="005A5322">
            <w:pPr>
              <w:spacing w:before="60" w:after="60"/>
              <w:jc w:val="center"/>
              <w:rPr>
                <w:sz w:val="22"/>
                <w:szCs w:val="22"/>
              </w:rPr>
            </w:pPr>
            <w:r w:rsidRPr="0092642F">
              <w:rPr>
                <w:rFonts w:ascii="Arial" w:hAnsi="Arial"/>
                <w:sz w:val="22"/>
                <w:szCs w:val="22"/>
              </w:rPr>
              <w:t>Matière première</w:t>
            </w:r>
          </w:p>
        </w:tc>
        <w:tc>
          <w:tcPr>
            <w:tcW w:w="1432" w:type="dxa"/>
          </w:tcPr>
          <w:p w:rsidR="005A5322" w:rsidRPr="0092642F" w:rsidRDefault="005A5322">
            <w:pPr>
              <w:spacing w:before="60" w:after="60"/>
              <w:jc w:val="center"/>
              <w:rPr>
                <w:sz w:val="22"/>
                <w:szCs w:val="22"/>
              </w:rPr>
            </w:pPr>
            <w:r w:rsidRPr="0092642F">
              <w:rPr>
                <w:rFonts w:ascii="Arial" w:hAnsi="Arial"/>
                <w:sz w:val="22"/>
                <w:szCs w:val="22"/>
              </w:rPr>
              <w:t>En-cours de fabrication</w:t>
            </w:r>
          </w:p>
        </w:tc>
        <w:tc>
          <w:tcPr>
            <w:tcW w:w="1253" w:type="dxa"/>
          </w:tcPr>
          <w:p w:rsidR="005A5322" w:rsidRPr="0092642F" w:rsidRDefault="005A5322">
            <w:pPr>
              <w:spacing w:before="60" w:after="60"/>
              <w:jc w:val="center"/>
              <w:rPr>
                <w:sz w:val="22"/>
                <w:szCs w:val="22"/>
              </w:rPr>
            </w:pPr>
            <w:r w:rsidRPr="0092642F">
              <w:rPr>
                <w:rFonts w:ascii="Arial" w:hAnsi="Arial"/>
                <w:sz w:val="22"/>
                <w:szCs w:val="22"/>
              </w:rPr>
              <w:t>Produits finis</w:t>
            </w:r>
          </w:p>
        </w:tc>
        <w:tc>
          <w:tcPr>
            <w:tcW w:w="1432" w:type="dxa"/>
          </w:tcPr>
          <w:p w:rsidR="005A5322" w:rsidRPr="0092642F" w:rsidRDefault="005A5322">
            <w:pPr>
              <w:spacing w:before="60" w:after="60"/>
              <w:jc w:val="center"/>
              <w:rPr>
                <w:sz w:val="22"/>
                <w:szCs w:val="22"/>
              </w:rPr>
            </w:pPr>
            <w:r w:rsidRPr="0092642F">
              <w:rPr>
                <w:rFonts w:ascii="Arial" w:hAnsi="Arial"/>
                <w:sz w:val="22"/>
                <w:szCs w:val="22"/>
              </w:rPr>
              <w:t>En-cours de livraison</w:t>
            </w:r>
          </w:p>
        </w:tc>
        <w:tc>
          <w:tcPr>
            <w:tcW w:w="1253" w:type="dxa"/>
          </w:tcPr>
          <w:p w:rsidR="005A5322" w:rsidRPr="0092642F" w:rsidRDefault="005A5322">
            <w:pPr>
              <w:spacing w:before="60" w:after="60"/>
              <w:rPr>
                <w:sz w:val="22"/>
                <w:szCs w:val="22"/>
              </w:rPr>
            </w:pPr>
            <w:r w:rsidRPr="0092642F">
              <w:rPr>
                <w:sz w:val="22"/>
                <w:szCs w:val="22"/>
              </w:rPr>
              <w:t> </w:t>
            </w:r>
          </w:p>
        </w:tc>
      </w:tr>
      <w:tr w:rsidR="005A5322" w:rsidRPr="0092642F">
        <w:tblPrEx>
          <w:tblCellMar>
            <w:top w:w="0" w:type="dxa"/>
            <w:bottom w:w="0" w:type="dxa"/>
          </w:tblCellMar>
        </w:tblPrEx>
        <w:tc>
          <w:tcPr>
            <w:tcW w:w="2328" w:type="dxa"/>
          </w:tcPr>
          <w:p w:rsidR="005A5322" w:rsidRPr="0092642F" w:rsidRDefault="005A5322">
            <w:pPr>
              <w:spacing w:before="60" w:after="60"/>
              <w:rPr>
                <w:sz w:val="22"/>
                <w:szCs w:val="22"/>
              </w:rPr>
            </w:pPr>
            <w:r w:rsidRPr="0092642F">
              <w:rPr>
                <w:rFonts w:ascii="Arial" w:hAnsi="Arial"/>
                <w:sz w:val="22"/>
                <w:szCs w:val="22"/>
              </w:rPr>
              <w:t>Coût par valise</w:t>
            </w:r>
          </w:p>
        </w:tc>
        <w:tc>
          <w:tcPr>
            <w:tcW w:w="1253" w:type="dxa"/>
          </w:tcPr>
          <w:p w:rsidR="005A5322" w:rsidRPr="0092642F" w:rsidRDefault="005A5322">
            <w:pPr>
              <w:spacing w:before="60" w:after="60"/>
              <w:jc w:val="center"/>
              <w:rPr>
                <w:sz w:val="22"/>
                <w:szCs w:val="22"/>
              </w:rPr>
            </w:pPr>
            <w:r w:rsidRPr="0092642F">
              <w:rPr>
                <w:rFonts w:ascii="Arial" w:hAnsi="Arial"/>
                <w:sz w:val="22"/>
                <w:szCs w:val="22"/>
              </w:rPr>
              <w:t>2 €</w:t>
            </w:r>
          </w:p>
        </w:tc>
        <w:tc>
          <w:tcPr>
            <w:tcW w:w="1432" w:type="dxa"/>
          </w:tcPr>
          <w:p w:rsidR="005A5322" w:rsidRPr="0092642F" w:rsidRDefault="005A5322">
            <w:pPr>
              <w:spacing w:before="60" w:after="60"/>
              <w:jc w:val="center"/>
              <w:rPr>
                <w:sz w:val="22"/>
                <w:szCs w:val="22"/>
              </w:rPr>
            </w:pPr>
            <w:r w:rsidRPr="0092642F">
              <w:rPr>
                <w:rFonts w:ascii="Arial" w:hAnsi="Arial"/>
                <w:sz w:val="22"/>
                <w:szCs w:val="22"/>
              </w:rPr>
              <w:t>3 €*</w:t>
            </w:r>
          </w:p>
        </w:tc>
        <w:tc>
          <w:tcPr>
            <w:tcW w:w="1253" w:type="dxa"/>
          </w:tcPr>
          <w:p w:rsidR="005A5322" w:rsidRPr="0092642F" w:rsidRDefault="005A5322">
            <w:pPr>
              <w:spacing w:before="60" w:after="60"/>
              <w:jc w:val="center"/>
              <w:rPr>
                <w:sz w:val="22"/>
                <w:szCs w:val="22"/>
              </w:rPr>
            </w:pPr>
            <w:r w:rsidRPr="0092642F">
              <w:rPr>
                <w:rFonts w:ascii="Arial" w:hAnsi="Arial"/>
                <w:sz w:val="22"/>
                <w:szCs w:val="22"/>
              </w:rPr>
              <w:t>4 €</w:t>
            </w:r>
          </w:p>
        </w:tc>
        <w:tc>
          <w:tcPr>
            <w:tcW w:w="1432" w:type="dxa"/>
          </w:tcPr>
          <w:p w:rsidR="005A5322" w:rsidRPr="0092642F" w:rsidRDefault="005A5322">
            <w:pPr>
              <w:spacing w:before="60" w:after="60"/>
              <w:jc w:val="center"/>
              <w:rPr>
                <w:sz w:val="22"/>
                <w:szCs w:val="22"/>
              </w:rPr>
            </w:pPr>
            <w:r w:rsidRPr="0092642F">
              <w:rPr>
                <w:rFonts w:ascii="Arial" w:hAnsi="Arial"/>
                <w:sz w:val="22"/>
                <w:szCs w:val="22"/>
              </w:rPr>
              <w:t>4,2 €</w:t>
            </w:r>
          </w:p>
        </w:tc>
        <w:tc>
          <w:tcPr>
            <w:tcW w:w="1253" w:type="dxa"/>
          </w:tcPr>
          <w:p w:rsidR="005A5322" w:rsidRPr="0092642F" w:rsidRDefault="005A5322">
            <w:pPr>
              <w:spacing w:before="60" w:after="60"/>
              <w:rPr>
                <w:sz w:val="22"/>
                <w:szCs w:val="22"/>
              </w:rPr>
            </w:pPr>
            <w:r w:rsidRPr="0092642F">
              <w:rPr>
                <w:sz w:val="22"/>
                <w:szCs w:val="22"/>
              </w:rPr>
              <w:t> </w:t>
            </w:r>
          </w:p>
        </w:tc>
      </w:tr>
      <w:tr w:rsidR="005A5322" w:rsidRPr="0092642F">
        <w:tblPrEx>
          <w:tblCellMar>
            <w:top w:w="0" w:type="dxa"/>
            <w:bottom w:w="0" w:type="dxa"/>
          </w:tblCellMar>
        </w:tblPrEx>
        <w:tc>
          <w:tcPr>
            <w:tcW w:w="2328" w:type="dxa"/>
          </w:tcPr>
          <w:p w:rsidR="005A5322" w:rsidRPr="0092642F" w:rsidRDefault="005A5322">
            <w:pPr>
              <w:spacing w:before="60" w:after="60"/>
              <w:rPr>
                <w:sz w:val="22"/>
                <w:szCs w:val="22"/>
              </w:rPr>
            </w:pPr>
            <w:r w:rsidRPr="0092642F">
              <w:rPr>
                <w:rFonts w:ascii="Arial" w:hAnsi="Arial"/>
                <w:sz w:val="22"/>
                <w:szCs w:val="22"/>
              </w:rPr>
              <w:t>Quantité</w:t>
            </w:r>
          </w:p>
        </w:tc>
        <w:tc>
          <w:tcPr>
            <w:tcW w:w="1253" w:type="dxa"/>
          </w:tcPr>
          <w:p w:rsidR="005A5322" w:rsidRPr="0092642F" w:rsidRDefault="005A5322">
            <w:pPr>
              <w:spacing w:before="60" w:after="60"/>
              <w:rPr>
                <w:sz w:val="22"/>
                <w:szCs w:val="22"/>
              </w:rPr>
            </w:pPr>
            <w:r w:rsidRPr="0092642F">
              <w:rPr>
                <w:sz w:val="22"/>
                <w:szCs w:val="22"/>
              </w:rPr>
              <w:t> </w:t>
            </w:r>
          </w:p>
        </w:tc>
        <w:tc>
          <w:tcPr>
            <w:tcW w:w="1432" w:type="dxa"/>
          </w:tcPr>
          <w:p w:rsidR="005A5322" w:rsidRPr="0092642F" w:rsidRDefault="005A5322">
            <w:pPr>
              <w:spacing w:before="60" w:after="60"/>
              <w:rPr>
                <w:sz w:val="22"/>
                <w:szCs w:val="22"/>
              </w:rPr>
            </w:pPr>
            <w:r w:rsidRPr="0092642F">
              <w:rPr>
                <w:sz w:val="22"/>
                <w:szCs w:val="22"/>
              </w:rPr>
              <w:t> </w:t>
            </w:r>
          </w:p>
        </w:tc>
        <w:tc>
          <w:tcPr>
            <w:tcW w:w="1253" w:type="dxa"/>
          </w:tcPr>
          <w:p w:rsidR="005A5322" w:rsidRPr="0092642F" w:rsidRDefault="005A5322">
            <w:pPr>
              <w:spacing w:before="60" w:after="60"/>
              <w:rPr>
                <w:sz w:val="22"/>
                <w:szCs w:val="22"/>
              </w:rPr>
            </w:pPr>
            <w:r w:rsidRPr="0092642F">
              <w:rPr>
                <w:sz w:val="22"/>
                <w:szCs w:val="22"/>
              </w:rPr>
              <w:t> </w:t>
            </w:r>
          </w:p>
        </w:tc>
        <w:tc>
          <w:tcPr>
            <w:tcW w:w="1432" w:type="dxa"/>
          </w:tcPr>
          <w:p w:rsidR="005A5322" w:rsidRPr="0092642F" w:rsidRDefault="005A5322">
            <w:pPr>
              <w:spacing w:before="60" w:after="60"/>
              <w:rPr>
                <w:sz w:val="22"/>
                <w:szCs w:val="22"/>
              </w:rPr>
            </w:pPr>
            <w:r w:rsidRPr="0092642F">
              <w:rPr>
                <w:sz w:val="22"/>
                <w:szCs w:val="22"/>
              </w:rPr>
              <w:t> </w:t>
            </w:r>
          </w:p>
        </w:tc>
        <w:tc>
          <w:tcPr>
            <w:tcW w:w="1253" w:type="dxa"/>
          </w:tcPr>
          <w:p w:rsidR="005A5322" w:rsidRPr="0092642F" w:rsidRDefault="005A5322">
            <w:pPr>
              <w:spacing w:before="60" w:after="60"/>
              <w:jc w:val="center"/>
              <w:rPr>
                <w:sz w:val="22"/>
                <w:szCs w:val="22"/>
              </w:rPr>
            </w:pPr>
            <w:r w:rsidRPr="0092642F">
              <w:rPr>
                <w:rFonts w:ascii="Arial" w:hAnsi="Arial"/>
                <w:sz w:val="22"/>
                <w:szCs w:val="22"/>
              </w:rPr>
              <w:t>TOTAL</w:t>
            </w:r>
          </w:p>
        </w:tc>
      </w:tr>
      <w:tr w:rsidR="005A5322" w:rsidRPr="0092642F">
        <w:tblPrEx>
          <w:tblCellMar>
            <w:top w:w="0" w:type="dxa"/>
            <w:bottom w:w="0" w:type="dxa"/>
          </w:tblCellMar>
        </w:tblPrEx>
        <w:tc>
          <w:tcPr>
            <w:tcW w:w="2328" w:type="dxa"/>
          </w:tcPr>
          <w:p w:rsidR="005A5322" w:rsidRPr="0092642F" w:rsidRDefault="005A5322">
            <w:pPr>
              <w:spacing w:before="60" w:after="60"/>
              <w:rPr>
                <w:sz w:val="22"/>
                <w:szCs w:val="22"/>
              </w:rPr>
            </w:pPr>
            <w:r w:rsidRPr="0092642F">
              <w:rPr>
                <w:rFonts w:ascii="Arial" w:hAnsi="Arial"/>
                <w:sz w:val="22"/>
                <w:szCs w:val="22"/>
              </w:rPr>
              <w:t>Valeur en stock (K€)</w:t>
            </w:r>
          </w:p>
        </w:tc>
        <w:tc>
          <w:tcPr>
            <w:tcW w:w="1253" w:type="dxa"/>
          </w:tcPr>
          <w:p w:rsidR="005A5322" w:rsidRPr="0092642F" w:rsidRDefault="005A5322">
            <w:pPr>
              <w:spacing w:before="60" w:after="60"/>
              <w:rPr>
                <w:sz w:val="22"/>
                <w:szCs w:val="22"/>
              </w:rPr>
            </w:pPr>
            <w:r w:rsidRPr="0092642F">
              <w:rPr>
                <w:sz w:val="22"/>
                <w:szCs w:val="22"/>
              </w:rPr>
              <w:t> </w:t>
            </w:r>
          </w:p>
        </w:tc>
        <w:tc>
          <w:tcPr>
            <w:tcW w:w="1432" w:type="dxa"/>
          </w:tcPr>
          <w:p w:rsidR="005A5322" w:rsidRPr="0092642F" w:rsidRDefault="005A5322">
            <w:pPr>
              <w:spacing w:before="60" w:after="60"/>
              <w:rPr>
                <w:sz w:val="22"/>
                <w:szCs w:val="22"/>
              </w:rPr>
            </w:pPr>
            <w:r w:rsidRPr="0092642F">
              <w:rPr>
                <w:sz w:val="22"/>
                <w:szCs w:val="22"/>
              </w:rPr>
              <w:t> </w:t>
            </w:r>
          </w:p>
        </w:tc>
        <w:tc>
          <w:tcPr>
            <w:tcW w:w="1253" w:type="dxa"/>
          </w:tcPr>
          <w:p w:rsidR="005A5322" w:rsidRPr="0092642F" w:rsidRDefault="005A5322">
            <w:pPr>
              <w:spacing w:before="60" w:after="60"/>
              <w:rPr>
                <w:sz w:val="22"/>
                <w:szCs w:val="22"/>
              </w:rPr>
            </w:pPr>
            <w:r w:rsidRPr="0092642F">
              <w:rPr>
                <w:sz w:val="22"/>
                <w:szCs w:val="22"/>
              </w:rPr>
              <w:t> </w:t>
            </w:r>
          </w:p>
        </w:tc>
        <w:tc>
          <w:tcPr>
            <w:tcW w:w="1432" w:type="dxa"/>
          </w:tcPr>
          <w:p w:rsidR="005A5322" w:rsidRPr="0092642F" w:rsidRDefault="005A5322">
            <w:pPr>
              <w:spacing w:before="60" w:after="60"/>
              <w:rPr>
                <w:sz w:val="22"/>
                <w:szCs w:val="22"/>
              </w:rPr>
            </w:pPr>
            <w:r w:rsidRPr="0092642F">
              <w:rPr>
                <w:sz w:val="22"/>
                <w:szCs w:val="22"/>
              </w:rPr>
              <w:t> </w:t>
            </w:r>
          </w:p>
        </w:tc>
        <w:tc>
          <w:tcPr>
            <w:tcW w:w="1253" w:type="dxa"/>
          </w:tcPr>
          <w:p w:rsidR="005A5322" w:rsidRPr="0092642F" w:rsidRDefault="005A5322">
            <w:pPr>
              <w:spacing w:before="60" w:after="60"/>
              <w:rPr>
                <w:sz w:val="22"/>
                <w:szCs w:val="22"/>
              </w:rPr>
            </w:pPr>
            <w:r w:rsidRPr="0092642F">
              <w:rPr>
                <w:sz w:val="22"/>
                <w:szCs w:val="22"/>
              </w:rPr>
              <w:t> </w:t>
            </w:r>
          </w:p>
        </w:tc>
      </w:tr>
    </w:tbl>
    <w:p w:rsidR="005A5322" w:rsidRDefault="005A5322">
      <w:r>
        <w:t>* Cette valeur représente une moyenne (le coût augmente au cours de la fabrication du produit).</w:t>
      </w:r>
    </w:p>
    <w:p w:rsidR="005A5322" w:rsidRDefault="005A5322">
      <w:pPr>
        <w:pStyle w:val="Titre3"/>
      </w:pPr>
      <w:r>
        <w:t>IV. Réduisez les délais et les stocks</w:t>
      </w:r>
    </w:p>
    <w:p w:rsidR="005A5322" w:rsidRDefault="005A5322">
      <w:pPr>
        <w:pStyle w:val="Titre4"/>
      </w:pPr>
      <w:r>
        <w:t>IV.1. Réduction des délais</w:t>
      </w:r>
    </w:p>
    <w:p w:rsidR="005A5322" w:rsidRDefault="005A5322">
      <w:r>
        <w:t xml:space="preserve">Pour satisfaire les exigences des clients, Reactik doit impérativement diviser </w:t>
      </w:r>
      <w:r>
        <w:rPr>
          <w:b/>
        </w:rPr>
        <w:t>ses</w:t>
      </w:r>
      <w:r>
        <w:t xml:space="preserve"> </w:t>
      </w:r>
      <w:r>
        <w:rPr>
          <w:b/>
        </w:rPr>
        <w:t>délais de livraison par deux</w:t>
      </w:r>
      <w:r>
        <w:t xml:space="preserve"> - pour les valises standard comme pour celles de luxe. </w:t>
      </w:r>
    </w:p>
    <w:p w:rsidR="005A5322" w:rsidRDefault="005A5322">
      <w:r>
        <w:t xml:space="preserve">Une étude a montré qu'il était possible de réduire les temps de passage sur de nombreux postes du circuit logistique (tableau ci-dessous). </w:t>
      </w:r>
    </w:p>
    <w:p w:rsidR="005A5322" w:rsidRDefault="005A5322">
      <w:r>
        <w:t xml:space="preserve">Cette réduction exige d'entreprendre des actions techniques ou de réorganisation. Chaque amélioration sur un poste (qui permet d'atteindre le délai mini) a un </w:t>
      </w:r>
      <w:r>
        <w:rPr>
          <w:b/>
        </w:rPr>
        <w:t>coût</w:t>
      </w:r>
      <w:r>
        <w:t xml:space="preserve">. Le budget global d'investissement est de 200 000 €. Quelle solution proposez-vous ? (Pour faciliter vos calculs, vous pourrez utiliser le tracé des flux en noircissant les </w:t>
      </w:r>
      <w:r>
        <w:rPr>
          <w:rFonts w:ascii="Arial" w:hAnsi="Arial"/>
          <w:b/>
        </w:rPr>
        <w:t>o</w:t>
      </w:r>
      <w:r>
        <w:t xml:space="preserve"> et les</w:t>
      </w:r>
      <w:r>
        <w:rPr>
          <w:rFonts w:ascii="Arial" w:hAnsi="Arial"/>
        </w:rPr>
        <w:t xml:space="preserve"> </w:t>
      </w:r>
      <w:r>
        <w:rPr>
          <w:rFonts w:ascii="Monotype Sorts" w:hAnsi="Monotype Sorts"/>
        </w:rPr>
        <w:t></w:t>
      </w:r>
      <w:r>
        <w:rPr>
          <w:rFonts w:ascii="Arial" w:hAnsi="Arial"/>
        </w:rPr>
        <w:t xml:space="preserve"> r</w:t>
      </w:r>
      <w:r>
        <w:t xml:space="preserve">eprésentant les délais minimum). </w:t>
      </w:r>
    </w:p>
    <w:tbl>
      <w:tblPr>
        <w:tblW w:w="0" w:type="auto"/>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907"/>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5A5322" w:rsidRPr="0092642F">
        <w:tblPrEx>
          <w:tblCellMar>
            <w:top w:w="0" w:type="dxa"/>
            <w:bottom w:w="0" w:type="dxa"/>
          </w:tblCellMar>
        </w:tblPrEx>
        <w:tc>
          <w:tcPr>
            <w:tcW w:w="907" w:type="dxa"/>
          </w:tcPr>
          <w:p w:rsidR="005A5322" w:rsidRPr="0092642F" w:rsidRDefault="005A5322">
            <w:pPr>
              <w:keepNext/>
              <w:spacing w:before="60" w:after="60"/>
              <w:rPr>
                <w:sz w:val="22"/>
                <w:szCs w:val="22"/>
              </w:rPr>
            </w:pPr>
            <w:r w:rsidRPr="0092642F">
              <w:rPr>
                <w:sz w:val="22"/>
                <w:szCs w:val="22"/>
              </w:rPr>
              <w:lastRenderedPageBreak/>
              <w:t> </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1</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2</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3</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4</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5</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6</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7</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8</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9</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10</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11</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12</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13</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14</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a</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b</w:t>
            </w:r>
          </w:p>
        </w:tc>
        <w:tc>
          <w:tcPr>
            <w:tcW w:w="453" w:type="dxa"/>
          </w:tcPr>
          <w:p w:rsidR="005A5322" w:rsidRPr="0092642F" w:rsidRDefault="005A5322">
            <w:pPr>
              <w:keepNext/>
              <w:spacing w:before="60" w:after="60"/>
              <w:jc w:val="center"/>
              <w:rPr>
                <w:sz w:val="22"/>
                <w:szCs w:val="22"/>
                <w:lang w:val="en-US"/>
              </w:rPr>
            </w:pPr>
            <w:r w:rsidRPr="0092642F">
              <w:rPr>
                <w:rFonts w:ascii="Arial" w:hAnsi="Arial"/>
                <w:b/>
                <w:sz w:val="22"/>
                <w:szCs w:val="22"/>
                <w:lang w:val="en-US"/>
              </w:rPr>
              <w:t>c</w:t>
            </w:r>
          </w:p>
        </w:tc>
        <w:tc>
          <w:tcPr>
            <w:tcW w:w="453" w:type="dxa"/>
          </w:tcPr>
          <w:p w:rsidR="005A5322" w:rsidRPr="0092642F" w:rsidRDefault="005A5322">
            <w:pPr>
              <w:keepNext/>
              <w:spacing w:before="60" w:after="60"/>
              <w:jc w:val="center"/>
              <w:rPr>
                <w:sz w:val="22"/>
                <w:szCs w:val="22"/>
              </w:rPr>
            </w:pPr>
            <w:r w:rsidRPr="0092642F">
              <w:rPr>
                <w:rFonts w:ascii="Arial" w:hAnsi="Arial"/>
                <w:b/>
                <w:sz w:val="22"/>
                <w:szCs w:val="22"/>
              </w:rPr>
              <w:t>d</w:t>
            </w:r>
          </w:p>
        </w:tc>
      </w:tr>
      <w:tr w:rsidR="005A5322" w:rsidRPr="0092642F">
        <w:tblPrEx>
          <w:tblCellMar>
            <w:top w:w="0" w:type="dxa"/>
            <w:bottom w:w="0" w:type="dxa"/>
          </w:tblCellMar>
        </w:tblPrEx>
        <w:tc>
          <w:tcPr>
            <w:tcW w:w="907" w:type="dxa"/>
          </w:tcPr>
          <w:p w:rsidR="005A5322" w:rsidRPr="0092642F" w:rsidRDefault="005A5322">
            <w:pPr>
              <w:keepNext/>
              <w:spacing w:before="60" w:after="60"/>
              <w:jc w:val="center"/>
              <w:rPr>
                <w:sz w:val="22"/>
                <w:szCs w:val="22"/>
              </w:rPr>
            </w:pPr>
            <w:r w:rsidRPr="0092642F">
              <w:rPr>
                <w:rFonts w:ascii="Arial" w:hAnsi="Arial"/>
                <w:b/>
                <w:sz w:val="22"/>
                <w:szCs w:val="22"/>
              </w:rPr>
              <w:t>Délai Actuel</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6</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6</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3</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5</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4</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w:t>
            </w:r>
          </w:p>
        </w:tc>
      </w:tr>
      <w:tr w:rsidR="005A5322" w:rsidRPr="0092642F">
        <w:tblPrEx>
          <w:tblCellMar>
            <w:top w:w="0" w:type="dxa"/>
            <w:bottom w:w="0" w:type="dxa"/>
          </w:tblCellMar>
        </w:tblPrEx>
        <w:tc>
          <w:tcPr>
            <w:tcW w:w="907" w:type="dxa"/>
          </w:tcPr>
          <w:p w:rsidR="005A5322" w:rsidRPr="0092642F" w:rsidRDefault="005A5322">
            <w:pPr>
              <w:keepNext/>
              <w:spacing w:before="60" w:after="60"/>
              <w:jc w:val="center"/>
              <w:rPr>
                <w:sz w:val="22"/>
                <w:szCs w:val="22"/>
              </w:rPr>
            </w:pPr>
            <w:r w:rsidRPr="0092642F">
              <w:rPr>
                <w:rFonts w:ascii="Arial" w:hAnsi="Arial"/>
                <w:b/>
                <w:sz w:val="22"/>
                <w:szCs w:val="22"/>
              </w:rPr>
              <w:t>Délai Mini.</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3</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w:t>
            </w:r>
          </w:p>
        </w:tc>
      </w:tr>
      <w:tr w:rsidR="005A5322" w:rsidRPr="0092642F">
        <w:tblPrEx>
          <w:tblCellMar>
            <w:top w:w="0" w:type="dxa"/>
            <w:bottom w:w="0" w:type="dxa"/>
          </w:tblCellMar>
        </w:tblPrEx>
        <w:tc>
          <w:tcPr>
            <w:tcW w:w="907" w:type="dxa"/>
          </w:tcPr>
          <w:p w:rsidR="005A5322" w:rsidRPr="0092642F" w:rsidRDefault="005A5322">
            <w:pPr>
              <w:keepNext/>
              <w:spacing w:before="60" w:after="60"/>
              <w:jc w:val="center"/>
              <w:rPr>
                <w:sz w:val="22"/>
                <w:szCs w:val="22"/>
              </w:rPr>
            </w:pPr>
            <w:r w:rsidRPr="0092642F">
              <w:rPr>
                <w:rFonts w:ascii="Arial" w:hAnsi="Arial"/>
                <w:b/>
                <w:sz w:val="22"/>
                <w:szCs w:val="22"/>
              </w:rPr>
              <w:t>Coût</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30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40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30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30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40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20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40</w:t>
            </w:r>
          </w:p>
        </w:tc>
        <w:tc>
          <w:tcPr>
            <w:tcW w:w="453" w:type="dxa"/>
          </w:tcPr>
          <w:p w:rsidR="005A5322" w:rsidRPr="0092642F" w:rsidRDefault="005A5322">
            <w:pPr>
              <w:keepNext/>
              <w:spacing w:before="60" w:after="60"/>
              <w:jc w:val="center"/>
              <w:rPr>
                <w:sz w:val="22"/>
                <w:szCs w:val="22"/>
              </w:rPr>
            </w:pPr>
            <w:r w:rsidRPr="0092642F">
              <w:rPr>
                <w:rFonts w:ascii="Arial" w:hAnsi="Arial"/>
                <w:sz w:val="22"/>
                <w:szCs w:val="22"/>
              </w:rPr>
              <w:t>10</w:t>
            </w:r>
          </w:p>
        </w:tc>
      </w:tr>
      <w:tr w:rsidR="005A5322" w:rsidRPr="0092642F">
        <w:tblPrEx>
          <w:tblCellMar>
            <w:top w:w="0" w:type="dxa"/>
            <w:bottom w:w="0" w:type="dxa"/>
          </w:tblCellMar>
        </w:tblPrEx>
        <w:tc>
          <w:tcPr>
            <w:tcW w:w="907"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c>
          <w:tcPr>
            <w:tcW w:w="453" w:type="dxa"/>
          </w:tcPr>
          <w:p w:rsidR="005A5322" w:rsidRPr="0092642F" w:rsidRDefault="005A5322">
            <w:pPr>
              <w:keepNext/>
              <w:spacing w:before="60" w:after="60"/>
              <w:rPr>
                <w:sz w:val="22"/>
                <w:szCs w:val="22"/>
              </w:rPr>
            </w:pPr>
            <w:r w:rsidRPr="0092642F">
              <w:rPr>
                <w:sz w:val="22"/>
                <w:szCs w:val="22"/>
              </w:rPr>
              <w:t> </w:t>
            </w:r>
          </w:p>
        </w:tc>
      </w:tr>
      <w:tr w:rsidR="005A5322" w:rsidRPr="0092642F">
        <w:tblPrEx>
          <w:tblCellMar>
            <w:top w:w="0" w:type="dxa"/>
            <w:bottom w:w="0" w:type="dxa"/>
          </w:tblCellMar>
        </w:tblPrEx>
        <w:tc>
          <w:tcPr>
            <w:tcW w:w="907"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c>
          <w:tcPr>
            <w:tcW w:w="453" w:type="dxa"/>
          </w:tcPr>
          <w:p w:rsidR="005A5322" w:rsidRPr="0092642F" w:rsidRDefault="005A5322">
            <w:pPr>
              <w:spacing w:before="60" w:after="60"/>
              <w:rPr>
                <w:sz w:val="22"/>
                <w:szCs w:val="22"/>
              </w:rPr>
            </w:pPr>
            <w:r w:rsidRPr="0092642F">
              <w:rPr>
                <w:sz w:val="22"/>
                <w:szCs w:val="22"/>
              </w:rPr>
              <w:t> </w:t>
            </w:r>
          </w:p>
        </w:tc>
      </w:tr>
    </w:tbl>
    <w:p w:rsidR="005A5322" w:rsidRDefault="005A5322">
      <w:pPr>
        <w:rPr>
          <w:rFonts w:ascii="Arial" w:hAnsi="Arial"/>
        </w:rPr>
      </w:pPr>
      <w:r>
        <w:rPr>
          <w:rFonts w:ascii="Arial" w:hAnsi="Arial"/>
        </w:rPr>
        <w:t> </w:t>
      </w:r>
    </w:p>
    <w:tbl>
      <w:tblPr>
        <w:tblW w:w="0" w:type="auto"/>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716"/>
        <w:gridCol w:w="1953"/>
        <w:gridCol w:w="1953"/>
      </w:tblGrid>
      <w:tr w:rsidR="005A5322" w:rsidRPr="0092642F">
        <w:tblPrEx>
          <w:tblCellMar>
            <w:top w:w="0" w:type="dxa"/>
            <w:bottom w:w="0" w:type="dxa"/>
          </w:tblCellMar>
        </w:tblPrEx>
        <w:tc>
          <w:tcPr>
            <w:tcW w:w="716" w:type="dxa"/>
          </w:tcPr>
          <w:p w:rsidR="005A5322" w:rsidRPr="0092642F" w:rsidRDefault="005A5322">
            <w:pPr>
              <w:spacing w:before="60" w:after="60"/>
              <w:rPr>
                <w:sz w:val="22"/>
                <w:szCs w:val="22"/>
              </w:rPr>
            </w:pPr>
            <w:r w:rsidRPr="0092642F">
              <w:rPr>
                <w:sz w:val="22"/>
                <w:szCs w:val="22"/>
              </w:rPr>
              <w:t> </w:t>
            </w:r>
          </w:p>
        </w:tc>
        <w:tc>
          <w:tcPr>
            <w:tcW w:w="1953" w:type="dxa"/>
          </w:tcPr>
          <w:p w:rsidR="005A5322" w:rsidRPr="0092642F" w:rsidRDefault="005A5322">
            <w:pPr>
              <w:spacing w:before="60" w:after="60"/>
              <w:jc w:val="center"/>
              <w:rPr>
                <w:sz w:val="22"/>
                <w:szCs w:val="22"/>
              </w:rPr>
            </w:pPr>
            <w:r w:rsidRPr="0092642F">
              <w:rPr>
                <w:rFonts w:ascii="Arial" w:hAnsi="Arial"/>
                <w:sz w:val="22"/>
                <w:szCs w:val="22"/>
              </w:rPr>
              <w:t>Livraison d'une valise standard</w:t>
            </w:r>
          </w:p>
        </w:tc>
        <w:tc>
          <w:tcPr>
            <w:tcW w:w="1953" w:type="dxa"/>
          </w:tcPr>
          <w:p w:rsidR="005A5322" w:rsidRPr="0092642F" w:rsidRDefault="005A5322">
            <w:pPr>
              <w:spacing w:before="60" w:after="60"/>
              <w:jc w:val="center"/>
              <w:rPr>
                <w:sz w:val="22"/>
                <w:szCs w:val="22"/>
              </w:rPr>
            </w:pPr>
            <w:r w:rsidRPr="0092642F">
              <w:rPr>
                <w:rFonts w:ascii="Arial" w:hAnsi="Arial"/>
                <w:sz w:val="22"/>
                <w:szCs w:val="22"/>
              </w:rPr>
              <w:t>Livraison d'une valise de luxe</w:t>
            </w:r>
          </w:p>
        </w:tc>
      </w:tr>
      <w:tr w:rsidR="005A5322" w:rsidRPr="0092642F">
        <w:tblPrEx>
          <w:tblCellMar>
            <w:top w:w="0" w:type="dxa"/>
            <w:bottom w:w="0" w:type="dxa"/>
          </w:tblCellMar>
        </w:tblPrEx>
        <w:tc>
          <w:tcPr>
            <w:tcW w:w="716" w:type="dxa"/>
          </w:tcPr>
          <w:p w:rsidR="005A5322" w:rsidRPr="0092642F" w:rsidRDefault="005A5322">
            <w:pPr>
              <w:spacing w:before="60" w:after="60"/>
              <w:rPr>
                <w:sz w:val="22"/>
                <w:szCs w:val="22"/>
              </w:rPr>
            </w:pPr>
            <w:r w:rsidRPr="0092642F">
              <w:rPr>
                <w:rFonts w:ascii="Arial" w:hAnsi="Arial"/>
                <w:sz w:val="22"/>
                <w:szCs w:val="22"/>
              </w:rPr>
              <w:t>Délai</w:t>
            </w:r>
          </w:p>
        </w:tc>
        <w:tc>
          <w:tcPr>
            <w:tcW w:w="1953" w:type="dxa"/>
          </w:tcPr>
          <w:p w:rsidR="005A5322" w:rsidRPr="0092642F" w:rsidRDefault="005A5322">
            <w:pPr>
              <w:spacing w:before="60" w:after="60"/>
              <w:rPr>
                <w:sz w:val="22"/>
                <w:szCs w:val="22"/>
              </w:rPr>
            </w:pPr>
            <w:r w:rsidRPr="0092642F">
              <w:rPr>
                <w:sz w:val="22"/>
                <w:szCs w:val="22"/>
              </w:rPr>
              <w:t> </w:t>
            </w:r>
          </w:p>
        </w:tc>
        <w:tc>
          <w:tcPr>
            <w:tcW w:w="1953" w:type="dxa"/>
          </w:tcPr>
          <w:p w:rsidR="005A5322" w:rsidRPr="0092642F" w:rsidRDefault="005A5322">
            <w:pPr>
              <w:spacing w:before="60" w:after="60"/>
              <w:rPr>
                <w:sz w:val="22"/>
                <w:szCs w:val="22"/>
              </w:rPr>
            </w:pPr>
            <w:r w:rsidRPr="0092642F">
              <w:rPr>
                <w:sz w:val="22"/>
                <w:szCs w:val="22"/>
              </w:rPr>
              <w:t> </w:t>
            </w:r>
          </w:p>
        </w:tc>
      </w:tr>
    </w:tbl>
    <w:p w:rsidR="005A5322" w:rsidRDefault="005A5322">
      <w:pPr>
        <w:pStyle w:val="Titre4"/>
      </w:pPr>
      <w:r>
        <w:t>IV.2. Gain de trésorerie</w:t>
      </w:r>
    </w:p>
    <w:p w:rsidR="005A5322" w:rsidRDefault="005A5322">
      <w:r>
        <w:t>Les dispositions que vous venez de prendre ont un impact positif sur la trésorerie de l'entreprise. En effet :</w:t>
      </w:r>
    </w:p>
    <w:p w:rsidR="005A5322" w:rsidRDefault="005A5322" w:rsidP="005A5322">
      <w:pPr>
        <w:numPr>
          <w:ilvl w:val="0"/>
          <w:numId w:val="6"/>
        </w:numPr>
        <w:tabs>
          <w:tab w:val="clear" w:pos="360"/>
          <w:tab w:val="num" w:pos="720"/>
        </w:tabs>
        <w:ind w:left="720"/>
      </w:pPr>
      <w:r>
        <w:t xml:space="preserve">Les stocks d'en-cours diminuent car le </w:t>
      </w:r>
      <w:r>
        <w:rPr>
          <w:i/>
        </w:rPr>
        <w:t>flux physique circule plus rapidement</w:t>
      </w:r>
      <w:r>
        <w:t>.</w:t>
      </w:r>
    </w:p>
    <w:p w:rsidR="005A5322" w:rsidRDefault="005A5322" w:rsidP="005A5322">
      <w:pPr>
        <w:numPr>
          <w:ilvl w:val="0"/>
          <w:numId w:val="6"/>
        </w:numPr>
        <w:tabs>
          <w:tab w:val="clear" w:pos="360"/>
          <w:tab w:val="num" w:pos="720"/>
        </w:tabs>
        <w:ind w:left="720"/>
      </w:pPr>
      <w:r>
        <w:t xml:space="preserve">Les stocks en magasin diminuent car leur </w:t>
      </w:r>
      <w:r>
        <w:rPr>
          <w:i/>
        </w:rPr>
        <w:t>délai de réapprovisionnement est plus faible</w:t>
      </w:r>
      <w:r>
        <w:t>. Le tableau ci-dessous montre la relation entre ces deux facteurs.</w:t>
      </w:r>
    </w:p>
    <w:p w:rsidR="005A5322" w:rsidRDefault="005A5322" w:rsidP="0092024D">
      <w:pPr>
        <w:pStyle w:val="Lgende"/>
        <w:spacing w:before="120" w:after="120"/>
        <w:jc w:val="center"/>
      </w:pPr>
      <w:r>
        <w:t>Produits finis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2191"/>
        <w:gridCol w:w="1217"/>
        <w:gridCol w:w="1217"/>
        <w:gridCol w:w="1217"/>
        <w:gridCol w:w="1217"/>
        <w:gridCol w:w="1136"/>
      </w:tblGrid>
      <w:tr w:rsidR="005A5322">
        <w:tblPrEx>
          <w:tblCellMar>
            <w:top w:w="0" w:type="dxa"/>
            <w:bottom w:w="0" w:type="dxa"/>
          </w:tblCellMar>
        </w:tblPrEx>
        <w:trPr>
          <w:jc w:val="center"/>
        </w:trPr>
        <w:tc>
          <w:tcPr>
            <w:tcW w:w="2191" w:type="dxa"/>
            <w:tcBorders>
              <w:bottom w:val="nil"/>
            </w:tcBorders>
          </w:tcPr>
          <w:p w:rsidR="005A5322" w:rsidRDefault="005A5322">
            <w:pPr>
              <w:keepNext/>
              <w:spacing w:before="60" w:after="60"/>
              <w:jc w:val="center"/>
              <w:rPr>
                <w:rFonts w:ascii="Arial" w:hAnsi="Arial"/>
                <w:sz w:val="22"/>
              </w:rPr>
            </w:pPr>
            <w:r>
              <w:rPr>
                <w:rFonts w:ascii="Arial" w:hAnsi="Arial"/>
                <w:sz w:val="22"/>
              </w:rPr>
              <w:t>Délai (jours)</w:t>
            </w:r>
          </w:p>
        </w:tc>
        <w:tc>
          <w:tcPr>
            <w:tcW w:w="1217" w:type="dxa"/>
            <w:tcBorders>
              <w:bottom w:val="nil"/>
            </w:tcBorders>
          </w:tcPr>
          <w:p w:rsidR="005A5322" w:rsidRDefault="005A5322">
            <w:pPr>
              <w:keepNext/>
              <w:spacing w:before="60" w:after="60"/>
              <w:jc w:val="center"/>
              <w:rPr>
                <w:rFonts w:ascii="Arial" w:hAnsi="Arial"/>
                <w:sz w:val="22"/>
              </w:rPr>
            </w:pPr>
            <w:r>
              <w:rPr>
                <w:rFonts w:ascii="Arial" w:hAnsi="Arial"/>
                <w:sz w:val="22"/>
              </w:rPr>
              <w:t>6 - 9</w:t>
            </w:r>
          </w:p>
        </w:tc>
        <w:tc>
          <w:tcPr>
            <w:tcW w:w="1217" w:type="dxa"/>
            <w:tcBorders>
              <w:bottom w:val="nil"/>
            </w:tcBorders>
          </w:tcPr>
          <w:p w:rsidR="005A5322" w:rsidRDefault="005A5322">
            <w:pPr>
              <w:keepNext/>
              <w:spacing w:before="60" w:after="60"/>
              <w:jc w:val="center"/>
              <w:rPr>
                <w:rFonts w:ascii="Arial" w:hAnsi="Arial"/>
                <w:sz w:val="22"/>
              </w:rPr>
            </w:pPr>
            <w:r>
              <w:rPr>
                <w:rFonts w:ascii="Arial" w:hAnsi="Arial"/>
                <w:sz w:val="22"/>
              </w:rPr>
              <w:t>10 - 13</w:t>
            </w:r>
          </w:p>
        </w:tc>
        <w:tc>
          <w:tcPr>
            <w:tcW w:w="1217" w:type="dxa"/>
            <w:tcBorders>
              <w:bottom w:val="nil"/>
            </w:tcBorders>
          </w:tcPr>
          <w:p w:rsidR="005A5322" w:rsidRDefault="005A5322">
            <w:pPr>
              <w:keepNext/>
              <w:spacing w:before="60" w:after="60"/>
              <w:jc w:val="center"/>
              <w:rPr>
                <w:rFonts w:ascii="Arial" w:hAnsi="Arial"/>
                <w:sz w:val="22"/>
              </w:rPr>
            </w:pPr>
            <w:r>
              <w:rPr>
                <w:rFonts w:ascii="Arial" w:hAnsi="Arial"/>
                <w:sz w:val="22"/>
              </w:rPr>
              <w:t>14 - 16</w:t>
            </w:r>
          </w:p>
        </w:tc>
        <w:tc>
          <w:tcPr>
            <w:tcW w:w="1217" w:type="dxa"/>
            <w:tcBorders>
              <w:bottom w:val="nil"/>
            </w:tcBorders>
          </w:tcPr>
          <w:p w:rsidR="005A5322" w:rsidRDefault="005A5322">
            <w:pPr>
              <w:keepNext/>
              <w:spacing w:before="60" w:after="60"/>
              <w:jc w:val="center"/>
              <w:rPr>
                <w:rFonts w:ascii="Arial" w:hAnsi="Arial"/>
                <w:sz w:val="22"/>
              </w:rPr>
            </w:pPr>
            <w:r>
              <w:rPr>
                <w:rFonts w:ascii="Arial" w:hAnsi="Arial"/>
                <w:sz w:val="22"/>
              </w:rPr>
              <w:t>17 - 19</w:t>
            </w:r>
          </w:p>
        </w:tc>
        <w:tc>
          <w:tcPr>
            <w:tcW w:w="1136" w:type="dxa"/>
            <w:tcBorders>
              <w:bottom w:val="nil"/>
            </w:tcBorders>
          </w:tcPr>
          <w:p w:rsidR="005A5322" w:rsidRDefault="005A5322">
            <w:pPr>
              <w:keepNext/>
              <w:spacing w:before="60" w:after="60"/>
              <w:jc w:val="center"/>
              <w:rPr>
                <w:rFonts w:ascii="Arial" w:hAnsi="Arial"/>
                <w:sz w:val="22"/>
              </w:rPr>
            </w:pPr>
            <w:r>
              <w:rPr>
                <w:rFonts w:ascii="Arial" w:hAnsi="Arial"/>
                <w:sz w:val="22"/>
              </w:rPr>
              <w:t>20</w:t>
            </w:r>
          </w:p>
        </w:tc>
      </w:tr>
      <w:tr w:rsidR="005A5322">
        <w:tblPrEx>
          <w:tblCellMar>
            <w:top w:w="0" w:type="dxa"/>
            <w:bottom w:w="0" w:type="dxa"/>
          </w:tblCellMar>
        </w:tblPrEx>
        <w:trPr>
          <w:jc w:val="center"/>
        </w:trPr>
        <w:tc>
          <w:tcPr>
            <w:tcW w:w="2191" w:type="dxa"/>
            <w:tcBorders>
              <w:bottom w:val="single" w:sz="12" w:space="0" w:color="auto"/>
            </w:tcBorders>
          </w:tcPr>
          <w:p w:rsidR="005A5322" w:rsidRDefault="005A5322">
            <w:pPr>
              <w:spacing w:before="60" w:after="60"/>
              <w:jc w:val="center"/>
              <w:rPr>
                <w:sz w:val="22"/>
              </w:rPr>
            </w:pPr>
            <w:r>
              <w:rPr>
                <w:rFonts w:ascii="Arial" w:hAnsi="Arial"/>
                <w:sz w:val="22"/>
              </w:rPr>
              <w:t>Stock produits finis</w:t>
            </w:r>
          </w:p>
        </w:tc>
        <w:tc>
          <w:tcPr>
            <w:tcW w:w="1217" w:type="dxa"/>
            <w:tcBorders>
              <w:bottom w:val="single" w:sz="12" w:space="0" w:color="auto"/>
            </w:tcBorders>
          </w:tcPr>
          <w:p w:rsidR="005A5322" w:rsidRDefault="005A5322">
            <w:pPr>
              <w:spacing w:before="60" w:after="60"/>
              <w:jc w:val="center"/>
              <w:rPr>
                <w:rFonts w:ascii="Arial" w:hAnsi="Arial"/>
                <w:sz w:val="22"/>
              </w:rPr>
            </w:pPr>
            <w:r>
              <w:rPr>
                <w:rFonts w:ascii="Arial" w:hAnsi="Arial"/>
                <w:sz w:val="22"/>
              </w:rPr>
              <w:t>6 000</w:t>
            </w:r>
          </w:p>
        </w:tc>
        <w:tc>
          <w:tcPr>
            <w:tcW w:w="1217" w:type="dxa"/>
            <w:tcBorders>
              <w:bottom w:val="single" w:sz="12" w:space="0" w:color="auto"/>
            </w:tcBorders>
          </w:tcPr>
          <w:p w:rsidR="005A5322" w:rsidRDefault="005A5322">
            <w:pPr>
              <w:spacing w:before="60" w:after="60"/>
              <w:jc w:val="center"/>
              <w:rPr>
                <w:rFonts w:ascii="Arial" w:hAnsi="Arial"/>
                <w:sz w:val="22"/>
              </w:rPr>
            </w:pPr>
            <w:r>
              <w:rPr>
                <w:rFonts w:ascii="Arial" w:hAnsi="Arial"/>
                <w:sz w:val="22"/>
              </w:rPr>
              <w:t>7 000</w:t>
            </w:r>
          </w:p>
        </w:tc>
        <w:tc>
          <w:tcPr>
            <w:tcW w:w="1217" w:type="dxa"/>
            <w:tcBorders>
              <w:bottom w:val="single" w:sz="12" w:space="0" w:color="auto"/>
            </w:tcBorders>
          </w:tcPr>
          <w:p w:rsidR="005A5322" w:rsidRDefault="005A5322">
            <w:pPr>
              <w:spacing w:before="60" w:after="60"/>
              <w:jc w:val="center"/>
              <w:rPr>
                <w:rFonts w:ascii="Arial" w:hAnsi="Arial"/>
                <w:sz w:val="22"/>
              </w:rPr>
            </w:pPr>
            <w:r>
              <w:rPr>
                <w:rFonts w:ascii="Arial" w:hAnsi="Arial"/>
                <w:sz w:val="22"/>
              </w:rPr>
              <w:t>8 000</w:t>
            </w:r>
          </w:p>
        </w:tc>
        <w:tc>
          <w:tcPr>
            <w:tcW w:w="1217" w:type="dxa"/>
            <w:tcBorders>
              <w:bottom w:val="single" w:sz="12" w:space="0" w:color="auto"/>
            </w:tcBorders>
          </w:tcPr>
          <w:p w:rsidR="005A5322" w:rsidRDefault="005A5322">
            <w:pPr>
              <w:spacing w:before="60" w:after="60"/>
              <w:jc w:val="center"/>
              <w:rPr>
                <w:rFonts w:ascii="Arial" w:hAnsi="Arial"/>
                <w:sz w:val="22"/>
              </w:rPr>
            </w:pPr>
            <w:r>
              <w:rPr>
                <w:rFonts w:ascii="Arial" w:hAnsi="Arial"/>
                <w:sz w:val="22"/>
              </w:rPr>
              <w:t>9 000</w:t>
            </w:r>
          </w:p>
        </w:tc>
        <w:tc>
          <w:tcPr>
            <w:tcW w:w="1136" w:type="dxa"/>
            <w:tcBorders>
              <w:bottom w:val="single" w:sz="12" w:space="0" w:color="auto"/>
            </w:tcBorders>
          </w:tcPr>
          <w:p w:rsidR="005A5322" w:rsidRDefault="005A5322">
            <w:pPr>
              <w:spacing w:before="60" w:after="60"/>
              <w:jc w:val="center"/>
              <w:rPr>
                <w:rFonts w:ascii="Arial" w:hAnsi="Arial"/>
                <w:sz w:val="22"/>
              </w:rPr>
            </w:pPr>
            <w:r>
              <w:rPr>
                <w:rFonts w:ascii="Arial" w:hAnsi="Arial"/>
                <w:sz w:val="22"/>
              </w:rPr>
              <w:t>10 000</w:t>
            </w:r>
          </w:p>
        </w:tc>
      </w:tr>
    </w:tbl>
    <w:p w:rsidR="005A5322" w:rsidRDefault="005A5322" w:rsidP="0092024D">
      <w:pPr>
        <w:pStyle w:val="Lgende"/>
        <w:spacing w:before="120" w:after="120"/>
        <w:jc w:val="center"/>
      </w:pPr>
      <w:r>
        <w:t>Matières premières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2191"/>
        <w:gridCol w:w="1217"/>
        <w:gridCol w:w="1217"/>
        <w:gridCol w:w="1217"/>
        <w:gridCol w:w="1217"/>
        <w:gridCol w:w="1136"/>
      </w:tblGrid>
      <w:tr w:rsidR="005A5322">
        <w:tblPrEx>
          <w:tblCellMar>
            <w:top w:w="0" w:type="dxa"/>
            <w:bottom w:w="0" w:type="dxa"/>
          </w:tblCellMar>
        </w:tblPrEx>
        <w:trPr>
          <w:jc w:val="center"/>
        </w:trPr>
        <w:tc>
          <w:tcPr>
            <w:tcW w:w="2191" w:type="dxa"/>
            <w:tcBorders>
              <w:top w:val="single" w:sz="12" w:space="0" w:color="auto"/>
            </w:tcBorders>
          </w:tcPr>
          <w:p w:rsidR="005A5322" w:rsidRDefault="005A5322">
            <w:pPr>
              <w:spacing w:before="60" w:after="60"/>
              <w:jc w:val="center"/>
              <w:rPr>
                <w:rFonts w:ascii="Arial" w:hAnsi="Arial"/>
                <w:sz w:val="22"/>
              </w:rPr>
            </w:pPr>
            <w:r>
              <w:rPr>
                <w:rFonts w:ascii="Arial" w:hAnsi="Arial"/>
                <w:sz w:val="22"/>
              </w:rPr>
              <w:t>Délai (jours)</w:t>
            </w:r>
          </w:p>
        </w:tc>
        <w:tc>
          <w:tcPr>
            <w:tcW w:w="1217" w:type="dxa"/>
            <w:tcBorders>
              <w:top w:val="single" w:sz="12" w:space="0" w:color="auto"/>
            </w:tcBorders>
            <w:shd w:val="clear" w:color="FFFFFF" w:fill="FFFFFF"/>
          </w:tcPr>
          <w:p w:rsidR="005A5322" w:rsidRDefault="005A5322">
            <w:pPr>
              <w:spacing w:before="60" w:after="60"/>
              <w:rPr>
                <w:sz w:val="22"/>
              </w:rPr>
            </w:pPr>
            <w:r>
              <w:rPr>
                <w:sz w:val="22"/>
              </w:rPr>
              <w:t> </w:t>
            </w:r>
          </w:p>
        </w:tc>
        <w:tc>
          <w:tcPr>
            <w:tcW w:w="1217" w:type="dxa"/>
            <w:tcBorders>
              <w:top w:val="single" w:sz="12" w:space="0" w:color="auto"/>
            </w:tcBorders>
            <w:shd w:val="clear" w:color="FFFFFF" w:fill="FFFFFF"/>
          </w:tcPr>
          <w:p w:rsidR="005A5322" w:rsidRDefault="005A5322">
            <w:pPr>
              <w:spacing w:before="60" w:after="60"/>
              <w:rPr>
                <w:sz w:val="22"/>
              </w:rPr>
            </w:pPr>
            <w:r>
              <w:rPr>
                <w:sz w:val="22"/>
              </w:rPr>
              <w:t> </w:t>
            </w:r>
          </w:p>
        </w:tc>
        <w:tc>
          <w:tcPr>
            <w:tcW w:w="1217" w:type="dxa"/>
            <w:tcBorders>
              <w:top w:val="single" w:sz="12" w:space="0" w:color="auto"/>
            </w:tcBorders>
          </w:tcPr>
          <w:p w:rsidR="005A5322" w:rsidRDefault="005A5322">
            <w:pPr>
              <w:spacing w:before="60" w:after="60"/>
              <w:jc w:val="center"/>
              <w:rPr>
                <w:rFonts w:ascii="Arial" w:hAnsi="Arial"/>
                <w:sz w:val="22"/>
              </w:rPr>
            </w:pPr>
            <w:r>
              <w:rPr>
                <w:rFonts w:ascii="Arial" w:hAnsi="Arial"/>
                <w:sz w:val="22"/>
              </w:rPr>
              <w:t>4 - 6</w:t>
            </w:r>
          </w:p>
        </w:tc>
        <w:tc>
          <w:tcPr>
            <w:tcW w:w="1217" w:type="dxa"/>
            <w:tcBorders>
              <w:top w:val="single" w:sz="12" w:space="0" w:color="auto"/>
            </w:tcBorders>
          </w:tcPr>
          <w:p w:rsidR="005A5322" w:rsidRDefault="005A5322">
            <w:pPr>
              <w:spacing w:before="60" w:after="60"/>
              <w:jc w:val="center"/>
              <w:rPr>
                <w:rFonts w:ascii="Arial" w:hAnsi="Arial"/>
                <w:sz w:val="22"/>
              </w:rPr>
            </w:pPr>
            <w:r>
              <w:rPr>
                <w:rFonts w:ascii="Arial" w:hAnsi="Arial"/>
                <w:sz w:val="22"/>
              </w:rPr>
              <w:t>7 - 8</w:t>
            </w:r>
          </w:p>
        </w:tc>
        <w:tc>
          <w:tcPr>
            <w:tcW w:w="1136" w:type="dxa"/>
            <w:tcBorders>
              <w:top w:val="single" w:sz="12" w:space="0" w:color="auto"/>
            </w:tcBorders>
          </w:tcPr>
          <w:p w:rsidR="005A5322" w:rsidRDefault="005A5322">
            <w:pPr>
              <w:spacing w:before="60" w:after="60"/>
              <w:jc w:val="center"/>
              <w:rPr>
                <w:rFonts w:ascii="Arial" w:hAnsi="Arial"/>
                <w:sz w:val="22"/>
              </w:rPr>
            </w:pPr>
            <w:r>
              <w:rPr>
                <w:rFonts w:ascii="Arial" w:hAnsi="Arial"/>
                <w:sz w:val="22"/>
              </w:rPr>
              <w:t>9 -10</w:t>
            </w:r>
          </w:p>
        </w:tc>
      </w:tr>
      <w:tr w:rsidR="005A5322">
        <w:tblPrEx>
          <w:tblCellMar>
            <w:top w:w="0" w:type="dxa"/>
            <w:bottom w:w="0" w:type="dxa"/>
          </w:tblCellMar>
        </w:tblPrEx>
        <w:trPr>
          <w:jc w:val="center"/>
        </w:trPr>
        <w:tc>
          <w:tcPr>
            <w:tcW w:w="2191" w:type="dxa"/>
          </w:tcPr>
          <w:p w:rsidR="005A5322" w:rsidRDefault="005A5322">
            <w:pPr>
              <w:spacing w:before="60" w:after="60"/>
              <w:jc w:val="center"/>
              <w:rPr>
                <w:sz w:val="22"/>
              </w:rPr>
            </w:pPr>
            <w:r>
              <w:rPr>
                <w:rFonts w:ascii="Arial" w:hAnsi="Arial"/>
                <w:sz w:val="22"/>
              </w:rPr>
              <w:t>Stock matières</w:t>
            </w:r>
          </w:p>
        </w:tc>
        <w:tc>
          <w:tcPr>
            <w:tcW w:w="1217" w:type="dxa"/>
            <w:shd w:val="clear" w:color="FFFFFF" w:fill="FFFFFF"/>
          </w:tcPr>
          <w:p w:rsidR="005A5322" w:rsidRDefault="005A5322">
            <w:pPr>
              <w:spacing w:before="60" w:after="60"/>
              <w:rPr>
                <w:sz w:val="22"/>
              </w:rPr>
            </w:pPr>
            <w:r>
              <w:rPr>
                <w:sz w:val="22"/>
              </w:rPr>
              <w:t> </w:t>
            </w:r>
          </w:p>
        </w:tc>
        <w:tc>
          <w:tcPr>
            <w:tcW w:w="1217" w:type="dxa"/>
            <w:shd w:val="clear" w:color="FFFFFF" w:fill="FFFFFF"/>
          </w:tcPr>
          <w:p w:rsidR="005A5322" w:rsidRDefault="005A5322">
            <w:pPr>
              <w:spacing w:before="60" w:after="60"/>
              <w:rPr>
                <w:sz w:val="22"/>
              </w:rPr>
            </w:pPr>
            <w:r>
              <w:rPr>
                <w:sz w:val="22"/>
              </w:rPr>
              <w:t> </w:t>
            </w:r>
          </w:p>
        </w:tc>
        <w:tc>
          <w:tcPr>
            <w:tcW w:w="1217" w:type="dxa"/>
          </w:tcPr>
          <w:p w:rsidR="005A5322" w:rsidRDefault="005A5322">
            <w:pPr>
              <w:spacing w:before="60" w:after="60"/>
              <w:jc w:val="center"/>
              <w:rPr>
                <w:rFonts w:ascii="Arial" w:hAnsi="Arial"/>
                <w:sz w:val="22"/>
              </w:rPr>
            </w:pPr>
            <w:r>
              <w:rPr>
                <w:rFonts w:ascii="Arial" w:hAnsi="Arial"/>
                <w:sz w:val="22"/>
              </w:rPr>
              <w:t>3 000</w:t>
            </w:r>
          </w:p>
        </w:tc>
        <w:tc>
          <w:tcPr>
            <w:tcW w:w="1217" w:type="dxa"/>
          </w:tcPr>
          <w:p w:rsidR="005A5322" w:rsidRDefault="005A5322">
            <w:pPr>
              <w:spacing w:before="60" w:after="60"/>
              <w:jc w:val="center"/>
              <w:rPr>
                <w:rFonts w:ascii="Arial" w:hAnsi="Arial"/>
                <w:sz w:val="22"/>
              </w:rPr>
            </w:pPr>
            <w:r>
              <w:rPr>
                <w:rFonts w:ascii="Arial" w:hAnsi="Arial"/>
                <w:sz w:val="22"/>
              </w:rPr>
              <w:t>5 000</w:t>
            </w:r>
          </w:p>
        </w:tc>
        <w:tc>
          <w:tcPr>
            <w:tcW w:w="1136" w:type="dxa"/>
          </w:tcPr>
          <w:p w:rsidR="005A5322" w:rsidRDefault="005A5322">
            <w:pPr>
              <w:spacing w:before="60" w:after="60"/>
              <w:jc w:val="center"/>
              <w:rPr>
                <w:rFonts w:ascii="Arial" w:hAnsi="Arial"/>
                <w:sz w:val="22"/>
              </w:rPr>
            </w:pPr>
            <w:r>
              <w:rPr>
                <w:rFonts w:ascii="Arial" w:hAnsi="Arial"/>
                <w:sz w:val="22"/>
              </w:rPr>
              <w:t>7 000</w:t>
            </w:r>
          </w:p>
        </w:tc>
      </w:tr>
    </w:tbl>
    <w:p w:rsidR="005A5322" w:rsidRDefault="005A5322">
      <w:pPr>
        <w:pStyle w:val="DefinitionList"/>
        <w:widowControl/>
      </w:pPr>
      <w:r>
        <w:t>Chiffrez sur le tableau ci-dessous les gains de trésorerie :</w:t>
      </w:r>
    </w:p>
    <w:tbl>
      <w:tblPr>
        <w:tblW w:w="0" w:type="auto"/>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2111"/>
        <w:gridCol w:w="1377"/>
        <w:gridCol w:w="1560"/>
        <w:gridCol w:w="1377"/>
        <w:gridCol w:w="1468"/>
        <w:gridCol w:w="1377"/>
      </w:tblGrid>
      <w:tr w:rsidR="005A5322">
        <w:tblPrEx>
          <w:tblCellMar>
            <w:top w:w="0" w:type="dxa"/>
            <w:bottom w:w="0" w:type="dxa"/>
          </w:tblCellMar>
        </w:tblPrEx>
        <w:tc>
          <w:tcPr>
            <w:tcW w:w="2111" w:type="dxa"/>
          </w:tcPr>
          <w:p w:rsidR="005A5322" w:rsidRDefault="005A5322">
            <w:pPr>
              <w:spacing w:before="60" w:after="60"/>
              <w:rPr>
                <w:sz w:val="22"/>
              </w:rPr>
            </w:pPr>
            <w:r>
              <w:rPr>
                <w:sz w:val="22"/>
              </w:rPr>
              <w:t> </w:t>
            </w:r>
          </w:p>
        </w:tc>
        <w:tc>
          <w:tcPr>
            <w:tcW w:w="1377" w:type="dxa"/>
          </w:tcPr>
          <w:p w:rsidR="005A5322" w:rsidRDefault="005A5322">
            <w:pPr>
              <w:spacing w:before="60" w:after="60"/>
              <w:jc w:val="center"/>
              <w:rPr>
                <w:sz w:val="22"/>
              </w:rPr>
            </w:pPr>
            <w:r>
              <w:rPr>
                <w:rFonts w:ascii="Arial" w:hAnsi="Arial"/>
                <w:sz w:val="22"/>
              </w:rPr>
              <w:t>Matière première</w:t>
            </w:r>
          </w:p>
        </w:tc>
        <w:tc>
          <w:tcPr>
            <w:tcW w:w="1560" w:type="dxa"/>
          </w:tcPr>
          <w:p w:rsidR="005A5322" w:rsidRDefault="005A5322">
            <w:pPr>
              <w:spacing w:before="60" w:after="60"/>
              <w:jc w:val="center"/>
              <w:rPr>
                <w:sz w:val="22"/>
              </w:rPr>
            </w:pPr>
            <w:r>
              <w:rPr>
                <w:rFonts w:ascii="Arial" w:hAnsi="Arial"/>
                <w:sz w:val="22"/>
              </w:rPr>
              <w:t>En-cours de fabrication</w:t>
            </w:r>
          </w:p>
        </w:tc>
        <w:tc>
          <w:tcPr>
            <w:tcW w:w="1377" w:type="dxa"/>
          </w:tcPr>
          <w:p w:rsidR="005A5322" w:rsidRDefault="005A5322">
            <w:pPr>
              <w:spacing w:before="60" w:after="60"/>
              <w:jc w:val="center"/>
              <w:rPr>
                <w:sz w:val="22"/>
              </w:rPr>
            </w:pPr>
            <w:r>
              <w:rPr>
                <w:rFonts w:ascii="Arial" w:hAnsi="Arial"/>
                <w:sz w:val="22"/>
              </w:rPr>
              <w:t>Produits finis</w:t>
            </w:r>
          </w:p>
        </w:tc>
        <w:tc>
          <w:tcPr>
            <w:tcW w:w="1468" w:type="dxa"/>
          </w:tcPr>
          <w:p w:rsidR="005A5322" w:rsidRDefault="005A5322">
            <w:pPr>
              <w:spacing w:before="60" w:after="60"/>
              <w:jc w:val="center"/>
              <w:rPr>
                <w:sz w:val="22"/>
              </w:rPr>
            </w:pPr>
            <w:r>
              <w:rPr>
                <w:rFonts w:ascii="Arial" w:hAnsi="Arial"/>
                <w:sz w:val="22"/>
              </w:rPr>
              <w:t>En-cours de livraison</w:t>
            </w:r>
          </w:p>
        </w:tc>
        <w:tc>
          <w:tcPr>
            <w:tcW w:w="1377" w:type="dxa"/>
          </w:tcPr>
          <w:p w:rsidR="005A5322" w:rsidRDefault="005A5322">
            <w:pPr>
              <w:spacing w:before="60" w:after="60"/>
              <w:rPr>
                <w:sz w:val="22"/>
              </w:rPr>
            </w:pPr>
            <w:r>
              <w:rPr>
                <w:sz w:val="22"/>
              </w:rPr>
              <w:t> </w:t>
            </w:r>
          </w:p>
        </w:tc>
      </w:tr>
      <w:tr w:rsidR="005A5322">
        <w:tblPrEx>
          <w:tblCellMar>
            <w:top w:w="0" w:type="dxa"/>
            <w:bottom w:w="0" w:type="dxa"/>
          </w:tblCellMar>
        </w:tblPrEx>
        <w:tc>
          <w:tcPr>
            <w:tcW w:w="2111" w:type="dxa"/>
          </w:tcPr>
          <w:p w:rsidR="005A5322" w:rsidRDefault="005A5322">
            <w:pPr>
              <w:spacing w:before="60" w:after="60"/>
              <w:jc w:val="center"/>
              <w:rPr>
                <w:sz w:val="22"/>
              </w:rPr>
            </w:pPr>
            <w:r>
              <w:rPr>
                <w:rFonts w:ascii="Arial" w:hAnsi="Arial"/>
                <w:sz w:val="22"/>
              </w:rPr>
              <w:t>Coût par valise</w:t>
            </w:r>
          </w:p>
        </w:tc>
        <w:tc>
          <w:tcPr>
            <w:tcW w:w="1377" w:type="dxa"/>
          </w:tcPr>
          <w:p w:rsidR="005A5322" w:rsidRDefault="005A5322">
            <w:pPr>
              <w:spacing w:before="60" w:after="60"/>
              <w:jc w:val="center"/>
              <w:rPr>
                <w:sz w:val="22"/>
              </w:rPr>
            </w:pPr>
            <w:r>
              <w:rPr>
                <w:rFonts w:ascii="Arial" w:hAnsi="Arial"/>
                <w:sz w:val="22"/>
              </w:rPr>
              <w:t>2 €</w:t>
            </w:r>
          </w:p>
        </w:tc>
        <w:tc>
          <w:tcPr>
            <w:tcW w:w="1560" w:type="dxa"/>
          </w:tcPr>
          <w:p w:rsidR="005A5322" w:rsidRDefault="005A5322">
            <w:pPr>
              <w:spacing w:before="60" w:after="60"/>
              <w:jc w:val="center"/>
              <w:rPr>
                <w:sz w:val="22"/>
              </w:rPr>
            </w:pPr>
            <w:r>
              <w:rPr>
                <w:rFonts w:ascii="Arial" w:hAnsi="Arial"/>
                <w:sz w:val="22"/>
              </w:rPr>
              <w:t>3 €*</w:t>
            </w:r>
          </w:p>
        </w:tc>
        <w:tc>
          <w:tcPr>
            <w:tcW w:w="1377" w:type="dxa"/>
          </w:tcPr>
          <w:p w:rsidR="005A5322" w:rsidRDefault="005A5322">
            <w:pPr>
              <w:spacing w:before="60" w:after="60"/>
              <w:jc w:val="center"/>
              <w:rPr>
                <w:sz w:val="22"/>
              </w:rPr>
            </w:pPr>
            <w:r>
              <w:rPr>
                <w:rFonts w:ascii="Arial" w:hAnsi="Arial"/>
                <w:sz w:val="22"/>
              </w:rPr>
              <w:t>4 €</w:t>
            </w:r>
          </w:p>
        </w:tc>
        <w:tc>
          <w:tcPr>
            <w:tcW w:w="1468" w:type="dxa"/>
          </w:tcPr>
          <w:p w:rsidR="005A5322" w:rsidRDefault="005A5322">
            <w:pPr>
              <w:spacing w:before="60" w:after="60"/>
              <w:jc w:val="center"/>
              <w:rPr>
                <w:sz w:val="22"/>
              </w:rPr>
            </w:pPr>
            <w:r>
              <w:rPr>
                <w:rFonts w:ascii="Arial" w:hAnsi="Arial"/>
                <w:sz w:val="22"/>
              </w:rPr>
              <w:t>4,2 €</w:t>
            </w:r>
          </w:p>
        </w:tc>
        <w:tc>
          <w:tcPr>
            <w:tcW w:w="1377" w:type="dxa"/>
          </w:tcPr>
          <w:p w:rsidR="005A5322" w:rsidRDefault="005A5322">
            <w:pPr>
              <w:spacing w:before="60" w:after="60"/>
              <w:rPr>
                <w:sz w:val="22"/>
              </w:rPr>
            </w:pPr>
            <w:r>
              <w:rPr>
                <w:sz w:val="22"/>
              </w:rPr>
              <w:t> </w:t>
            </w:r>
          </w:p>
        </w:tc>
      </w:tr>
      <w:tr w:rsidR="005A5322">
        <w:tblPrEx>
          <w:tblCellMar>
            <w:top w:w="0" w:type="dxa"/>
            <w:bottom w:w="0" w:type="dxa"/>
          </w:tblCellMar>
        </w:tblPrEx>
        <w:tc>
          <w:tcPr>
            <w:tcW w:w="2111" w:type="dxa"/>
          </w:tcPr>
          <w:p w:rsidR="005A5322" w:rsidRDefault="005A5322">
            <w:pPr>
              <w:spacing w:before="60" w:after="60"/>
              <w:jc w:val="center"/>
              <w:rPr>
                <w:sz w:val="22"/>
              </w:rPr>
            </w:pPr>
            <w:r>
              <w:rPr>
                <w:rFonts w:ascii="Arial" w:hAnsi="Arial"/>
                <w:sz w:val="22"/>
              </w:rPr>
              <w:t>Nouvelle quantité</w:t>
            </w:r>
          </w:p>
        </w:tc>
        <w:tc>
          <w:tcPr>
            <w:tcW w:w="1377" w:type="dxa"/>
          </w:tcPr>
          <w:p w:rsidR="005A5322" w:rsidRDefault="005A5322">
            <w:pPr>
              <w:spacing w:before="60" w:after="60"/>
              <w:rPr>
                <w:sz w:val="22"/>
              </w:rPr>
            </w:pPr>
            <w:r>
              <w:rPr>
                <w:sz w:val="22"/>
              </w:rPr>
              <w:t> </w:t>
            </w:r>
          </w:p>
        </w:tc>
        <w:tc>
          <w:tcPr>
            <w:tcW w:w="1560" w:type="dxa"/>
          </w:tcPr>
          <w:p w:rsidR="005A5322" w:rsidRDefault="005A5322">
            <w:pPr>
              <w:spacing w:before="60" w:after="60"/>
              <w:rPr>
                <w:sz w:val="22"/>
              </w:rPr>
            </w:pPr>
            <w:r>
              <w:rPr>
                <w:sz w:val="22"/>
              </w:rPr>
              <w:t> </w:t>
            </w:r>
          </w:p>
        </w:tc>
        <w:tc>
          <w:tcPr>
            <w:tcW w:w="1377" w:type="dxa"/>
          </w:tcPr>
          <w:p w:rsidR="005A5322" w:rsidRDefault="005A5322">
            <w:pPr>
              <w:spacing w:before="60" w:after="60"/>
              <w:rPr>
                <w:sz w:val="22"/>
              </w:rPr>
            </w:pPr>
            <w:r>
              <w:rPr>
                <w:sz w:val="22"/>
              </w:rPr>
              <w:t> </w:t>
            </w:r>
          </w:p>
        </w:tc>
        <w:tc>
          <w:tcPr>
            <w:tcW w:w="1468" w:type="dxa"/>
          </w:tcPr>
          <w:p w:rsidR="005A5322" w:rsidRDefault="005A5322">
            <w:pPr>
              <w:spacing w:before="60" w:after="60"/>
              <w:rPr>
                <w:sz w:val="22"/>
              </w:rPr>
            </w:pPr>
            <w:r>
              <w:rPr>
                <w:sz w:val="22"/>
              </w:rPr>
              <w:t> </w:t>
            </w:r>
          </w:p>
        </w:tc>
        <w:tc>
          <w:tcPr>
            <w:tcW w:w="1377" w:type="dxa"/>
          </w:tcPr>
          <w:p w:rsidR="005A5322" w:rsidRDefault="005A5322">
            <w:pPr>
              <w:spacing w:before="60" w:after="60"/>
              <w:jc w:val="center"/>
              <w:rPr>
                <w:sz w:val="22"/>
              </w:rPr>
            </w:pPr>
            <w:r>
              <w:rPr>
                <w:rFonts w:ascii="Arial" w:hAnsi="Arial"/>
                <w:sz w:val="22"/>
              </w:rPr>
              <w:t>TOTAL</w:t>
            </w:r>
          </w:p>
        </w:tc>
      </w:tr>
      <w:tr w:rsidR="005A5322">
        <w:tblPrEx>
          <w:tblCellMar>
            <w:top w:w="0" w:type="dxa"/>
            <w:bottom w:w="0" w:type="dxa"/>
          </w:tblCellMar>
        </w:tblPrEx>
        <w:tc>
          <w:tcPr>
            <w:tcW w:w="2111" w:type="dxa"/>
          </w:tcPr>
          <w:p w:rsidR="005A5322" w:rsidRDefault="005A5322">
            <w:pPr>
              <w:spacing w:before="60" w:after="60"/>
              <w:jc w:val="center"/>
              <w:rPr>
                <w:sz w:val="22"/>
              </w:rPr>
            </w:pPr>
            <w:r>
              <w:rPr>
                <w:rFonts w:ascii="Arial" w:hAnsi="Arial"/>
                <w:sz w:val="22"/>
              </w:rPr>
              <w:t>Nouvelle valeur</w:t>
            </w:r>
          </w:p>
        </w:tc>
        <w:tc>
          <w:tcPr>
            <w:tcW w:w="1377" w:type="dxa"/>
          </w:tcPr>
          <w:p w:rsidR="005A5322" w:rsidRDefault="005A5322">
            <w:pPr>
              <w:spacing w:before="60" w:after="60"/>
              <w:rPr>
                <w:sz w:val="22"/>
              </w:rPr>
            </w:pPr>
            <w:r>
              <w:rPr>
                <w:sz w:val="22"/>
              </w:rPr>
              <w:t> </w:t>
            </w:r>
          </w:p>
        </w:tc>
        <w:tc>
          <w:tcPr>
            <w:tcW w:w="1560" w:type="dxa"/>
          </w:tcPr>
          <w:p w:rsidR="005A5322" w:rsidRDefault="005A5322">
            <w:pPr>
              <w:spacing w:before="60" w:after="60"/>
              <w:rPr>
                <w:sz w:val="22"/>
              </w:rPr>
            </w:pPr>
            <w:r>
              <w:rPr>
                <w:sz w:val="22"/>
              </w:rPr>
              <w:t> </w:t>
            </w:r>
          </w:p>
        </w:tc>
        <w:tc>
          <w:tcPr>
            <w:tcW w:w="1377" w:type="dxa"/>
          </w:tcPr>
          <w:p w:rsidR="005A5322" w:rsidRDefault="005A5322">
            <w:pPr>
              <w:spacing w:before="60" w:after="60"/>
              <w:rPr>
                <w:sz w:val="22"/>
              </w:rPr>
            </w:pPr>
            <w:r>
              <w:rPr>
                <w:sz w:val="22"/>
              </w:rPr>
              <w:t> </w:t>
            </w:r>
          </w:p>
        </w:tc>
        <w:tc>
          <w:tcPr>
            <w:tcW w:w="1468" w:type="dxa"/>
          </w:tcPr>
          <w:p w:rsidR="005A5322" w:rsidRDefault="005A5322">
            <w:pPr>
              <w:spacing w:before="60" w:after="60"/>
              <w:rPr>
                <w:sz w:val="22"/>
              </w:rPr>
            </w:pPr>
            <w:r>
              <w:rPr>
                <w:sz w:val="22"/>
              </w:rPr>
              <w:t> </w:t>
            </w:r>
          </w:p>
        </w:tc>
        <w:tc>
          <w:tcPr>
            <w:tcW w:w="1377" w:type="dxa"/>
          </w:tcPr>
          <w:p w:rsidR="005A5322" w:rsidRDefault="005A5322">
            <w:pPr>
              <w:spacing w:before="60" w:after="60"/>
              <w:rPr>
                <w:sz w:val="22"/>
              </w:rPr>
            </w:pPr>
            <w:r>
              <w:rPr>
                <w:sz w:val="22"/>
              </w:rPr>
              <w:t> </w:t>
            </w:r>
          </w:p>
        </w:tc>
      </w:tr>
      <w:tr w:rsidR="005A5322">
        <w:tblPrEx>
          <w:tblCellMar>
            <w:top w:w="0" w:type="dxa"/>
            <w:bottom w:w="0" w:type="dxa"/>
          </w:tblCellMar>
        </w:tblPrEx>
        <w:tc>
          <w:tcPr>
            <w:tcW w:w="2111" w:type="dxa"/>
          </w:tcPr>
          <w:p w:rsidR="005A5322" w:rsidRDefault="005A5322">
            <w:pPr>
              <w:spacing w:before="60" w:after="60"/>
              <w:jc w:val="center"/>
              <w:rPr>
                <w:sz w:val="22"/>
              </w:rPr>
            </w:pPr>
            <w:r>
              <w:rPr>
                <w:rFonts w:ascii="Arial" w:hAnsi="Arial"/>
                <w:sz w:val="22"/>
              </w:rPr>
              <w:t>Gain</w:t>
            </w:r>
          </w:p>
        </w:tc>
        <w:tc>
          <w:tcPr>
            <w:tcW w:w="1377" w:type="dxa"/>
          </w:tcPr>
          <w:p w:rsidR="005A5322" w:rsidRDefault="005A5322">
            <w:pPr>
              <w:spacing w:before="60" w:after="60"/>
              <w:rPr>
                <w:sz w:val="22"/>
              </w:rPr>
            </w:pPr>
            <w:r>
              <w:rPr>
                <w:sz w:val="22"/>
              </w:rPr>
              <w:t> </w:t>
            </w:r>
          </w:p>
        </w:tc>
        <w:tc>
          <w:tcPr>
            <w:tcW w:w="1560" w:type="dxa"/>
          </w:tcPr>
          <w:p w:rsidR="005A5322" w:rsidRDefault="005A5322">
            <w:pPr>
              <w:spacing w:before="60" w:after="60"/>
              <w:rPr>
                <w:sz w:val="22"/>
              </w:rPr>
            </w:pPr>
            <w:r>
              <w:rPr>
                <w:sz w:val="22"/>
              </w:rPr>
              <w:t> </w:t>
            </w:r>
          </w:p>
        </w:tc>
        <w:tc>
          <w:tcPr>
            <w:tcW w:w="1377" w:type="dxa"/>
          </w:tcPr>
          <w:p w:rsidR="005A5322" w:rsidRDefault="005A5322">
            <w:pPr>
              <w:spacing w:before="60" w:after="60"/>
              <w:rPr>
                <w:sz w:val="22"/>
              </w:rPr>
            </w:pPr>
            <w:r>
              <w:rPr>
                <w:sz w:val="22"/>
              </w:rPr>
              <w:t> </w:t>
            </w:r>
          </w:p>
        </w:tc>
        <w:tc>
          <w:tcPr>
            <w:tcW w:w="1468" w:type="dxa"/>
          </w:tcPr>
          <w:p w:rsidR="005A5322" w:rsidRDefault="005A5322">
            <w:pPr>
              <w:spacing w:before="60" w:after="60"/>
              <w:rPr>
                <w:sz w:val="22"/>
              </w:rPr>
            </w:pPr>
            <w:r>
              <w:rPr>
                <w:sz w:val="22"/>
              </w:rPr>
              <w:t> </w:t>
            </w:r>
          </w:p>
        </w:tc>
        <w:tc>
          <w:tcPr>
            <w:tcW w:w="1377" w:type="dxa"/>
          </w:tcPr>
          <w:p w:rsidR="005A5322" w:rsidRDefault="005A5322">
            <w:pPr>
              <w:spacing w:before="60" w:after="60"/>
              <w:rPr>
                <w:sz w:val="22"/>
              </w:rPr>
            </w:pPr>
            <w:r>
              <w:rPr>
                <w:sz w:val="22"/>
              </w:rPr>
              <w:t> </w:t>
            </w:r>
          </w:p>
        </w:tc>
      </w:tr>
    </w:tbl>
    <w:p w:rsidR="005A5322" w:rsidRDefault="005A5322">
      <w:r>
        <w:t>* Par souci de simplification, il s’agit d’un coût moyen par valise en cours de fabrication, son coût croissant au fur et à mesure qu’elle progresse dans le processus.</w:t>
      </w:r>
    </w:p>
    <w:p w:rsidR="005A5322" w:rsidRDefault="005A5322">
      <w:pPr>
        <w:pStyle w:val="Titre4"/>
      </w:pPr>
      <w:r>
        <w:br w:type="page"/>
      </w:r>
      <w:r>
        <w:lastRenderedPageBreak/>
        <w:t>IV.3. Réorganisation</w:t>
      </w:r>
    </w:p>
    <w:p w:rsidR="005A5322" w:rsidRDefault="005A5322">
      <w:pPr>
        <w:spacing w:after="120"/>
      </w:pPr>
      <w:r>
        <w:t xml:space="preserve">Nous avons évoqué des </w:t>
      </w:r>
      <w:r>
        <w:rPr>
          <w:i/>
        </w:rPr>
        <w:t>actions techniques ou de réorganisation</w:t>
      </w:r>
      <w:r>
        <w:t xml:space="preserve"> pour réduire les délais de circulation. Pouvez-vous donner des exemples de telles actions ?</w:t>
      </w:r>
    </w:p>
    <w:tbl>
      <w:tblPr>
        <w:tblW w:w="0" w:type="auto"/>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0" w:type="dxa"/>
          <w:right w:w="60" w:type="dxa"/>
        </w:tblCellMar>
        <w:tblLook w:val="0000"/>
      </w:tblPr>
      <w:tblGrid>
        <w:gridCol w:w="2016"/>
        <w:gridCol w:w="7340"/>
      </w:tblGrid>
      <w:tr w:rsidR="005A5322">
        <w:tblPrEx>
          <w:tblCellMar>
            <w:top w:w="0" w:type="dxa"/>
            <w:bottom w:w="0" w:type="dxa"/>
          </w:tblCellMar>
        </w:tblPrEx>
        <w:tc>
          <w:tcPr>
            <w:tcW w:w="2016" w:type="dxa"/>
          </w:tcPr>
          <w:p w:rsidR="005A5322" w:rsidRDefault="005A5322">
            <w:pPr>
              <w:spacing w:before="60" w:after="60"/>
              <w:jc w:val="center"/>
              <w:rPr>
                <w:b/>
                <w:sz w:val="22"/>
              </w:rPr>
            </w:pPr>
            <w:r>
              <w:rPr>
                <w:rFonts w:ascii="Arial" w:hAnsi="Arial"/>
                <w:b/>
                <w:sz w:val="22"/>
              </w:rPr>
              <w:t>Poste</w:t>
            </w:r>
          </w:p>
        </w:tc>
        <w:tc>
          <w:tcPr>
            <w:tcW w:w="7340" w:type="dxa"/>
          </w:tcPr>
          <w:p w:rsidR="005A5322" w:rsidRDefault="005A5322">
            <w:pPr>
              <w:spacing w:before="60" w:after="60"/>
              <w:jc w:val="center"/>
              <w:rPr>
                <w:b/>
                <w:sz w:val="22"/>
              </w:rPr>
            </w:pPr>
            <w:r>
              <w:rPr>
                <w:rFonts w:ascii="Arial" w:hAnsi="Arial"/>
                <w:b/>
                <w:sz w:val="22"/>
              </w:rPr>
              <w:t>Proposition d'action concrète</w:t>
            </w:r>
          </w:p>
        </w:tc>
      </w:tr>
      <w:tr w:rsidR="005A5322">
        <w:tblPrEx>
          <w:tblCellMar>
            <w:top w:w="0" w:type="dxa"/>
            <w:bottom w:w="0" w:type="dxa"/>
          </w:tblCellMar>
        </w:tblPrEx>
        <w:tc>
          <w:tcPr>
            <w:tcW w:w="2016" w:type="dxa"/>
          </w:tcPr>
          <w:p w:rsidR="005A5322" w:rsidRDefault="005A5322">
            <w:pPr>
              <w:spacing w:before="60" w:after="60"/>
              <w:jc w:val="center"/>
              <w:rPr>
                <w:sz w:val="22"/>
              </w:rPr>
            </w:pPr>
            <w:r>
              <w:rPr>
                <w:rFonts w:ascii="Arial" w:hAnsi="Arial"/>
                <w:sz w:val="22"/>
              </w:rPr>
              <w:t>Fournisseur (1)</w:t>
            </w:r>
          </w:p>
        </w:tc>
        <w:tc>
          <w:tcPr>
            <w:tcW w:w="7340" w:type="dxa"/>
          </w:tcPr>
          <w:p w:rsidR="005A5322" w:rsidRDefault="005A5322">
            <w:pPr>
              <w:spacing w:before="60" w:after="60"/>
              <w:rPr>
                <w:sz w:val="22"/>
              </w:rPr>
            </w:pPr>
            <w:r>
              <w:rPr>
                <w:sz w:val="22"/>
              </w:rPr>
              <w:t> </w:t>
            </w:r>
          </w:p>
        </w:tc>
      </w:tr>
      <w:tr w:rsidR="005A5322">
        <w:tblPrEx>
          <w:tblCellMar>
            <w:top w:w="0" w:type="dxa"/>
            <w:bottom w:w="0" w:type="dxa"/>
          </w:tblCellMar>
        </w:tblPrEx>
        <w:tc>
          <w:tcPr>
            <w:tcW w:w="2016" w:type="dxa"/>
          </w:tcPr>
          <w:p w:rsidR="005A5322" w:rsidRDefault="005A5322">
            <w:pPr>
              <w:spacing w:before="60" w:after="60"/>
              <w:jc w:val="center"/>
              <w:rPr>
                <w:sz w:val="22"/>
              </w:rPr>
            </w:pPr>
            <w:r>
              <w:rPr>
                <w:rFonts w:ascii="Arial" w:hAnsi="Arial"/>
                <w:sz w:val="22"/>
              </w:rPr>
              <w:t>Contrôle (3)</w:t>
            </w:r>
          </w:p>
        </w:tc>
        <w:tc>
          <w:tcPr>
            <w:tcW w:w="7340" w:type="dxa"/>
          </w:tcPr>
          <w:p w:rsidR="005A5322" w:rsidRDefault="005A5322">
            <w:pPr>
              <w:spacing w:before="60" w:after="60"/>
              <w:rPr>
                <w:sz w:val="22"/>
              </w:rPr>
            </w:pPr>
            <w:r>
              <w:rPr>
                <w:sz w:val="22"/>
              </w:rPr>
              <w:t> </w:t>
            </w:r>
          </w:p>
        </w:tc>
      </w:tr>
      <w:tr w:rsidR="005A5322">
        <w:tblPrEx>
          <w:tblCellMar>
            <w:top w:w="0" w:type="dxa"/>
            <w:bottom w:w="0" w:type="dxa"/>
          </w:tblCellMar>
        </w:tblPrEx>
        <w:tc>
          <w:tcPr>
            <w:tcW w:w="2016" w:type="dxa"/>
          </w:tcPr>
          <w:p w:rsidR="005A5322" w:rsidRDefault="005A5322">
            <w:pPr>
              <w:spacing w:before="60" w:after="60"/>
              <w:jc w:val="center"/>
              <w:rPr>
                <w:sz w:val="22"/>
              </w:rPr>
            </w:pPr>
            <w:r>
              <w:rPr>
                <w:rFonts w:ascii="Arial" w:hAnsi="Arial"/>
                <w:sz w:val="22"/>
              </w:rPr>
              <w:t>Manutention (6)</w:t>
            </w:r>
          </w:p>
        </w:tc>
        <w:tc>
          <w:tcPr>
            <w:tcW w:w="7340" w:type="dxa"/>
          </w:tcPr>
          <w:p w:rsidR="005A5322" w:rsidRDefault="005A5322">
            <w:pPr>
              <w:spacing w:before="60" w:after="60"/>
              <w:rPr>
                <w:sz w:val="22"/>
              </w:rPr>
            </w:pPr>
            <w:r>
              <w:rPr>
                <w:sz w:val="22"/>
              </w:rPr>
              <w:t> </w:t>
            </w:r>
          </w:p>
        </w:tc>
      </w:tr>
      <w:tr w:rsidR="005A5322">
        <w:tblPrEx>
          <w:tblCellMar>
            <w:top w:w="0" w:type="dxa"/>
            <w:bottom w:w="0" w:type="dxa"/>
          </w:tblCellMar>
        </w:tblPrEx>
        <w:tc>
          <w:tcPr>
            <w:tcW w:w="2016" w:type="dxa"/>
          </w:tcPr>
          <w:p w:rsidR="005A5322" w:rsidRDefault="005A5322">
            <w:pPr>
              <w:spacing w:before="60" w:after="60"/>
              <w:jc w:val="center"/>
              <w:rPr>
                <w:sz w:val="22"/>
              </w:rPr>
            </w:pPr>
            <w:r>
              <w:rPr>
                <w:rFonts w:ascii="Arial" w:hAnsi="Arial"/>
                <w:sz w:val="22"/>
              </w:rPr>
              <w:t>Vernis (7)</w:t>
            </w:r>
          </w:p>
        </w:tc>
        <w:tc>
          <w:tcPr>
            <w:tcW w:w="7340" w:type="dxa"/>
          </w:tcPr>
          <w:p w:rsidR="005A5322" w:rsidRDefault="005A5322">
            <w:pPr>
              <w:spacing w:before="60" w:after="60"/>
              <w:rPr>
                <w:sz w:val="22"/>
              </w:rPr>
            </w:pPr>
            <w:r>
              <w:rPr>
                <w:sz w:val="22"/>
              </w:rPr>
              <w:t> </w:t>
            </w:r>
          </w:p>
        </w:tc>
      </w:tr>
      <w:tr w:rsidR="005A5322">
        <w:tblPrEx>
          <w:tblCellMar>
            <w:top w:w="0" w:type="dxa"/>
            <w:bottom w:w="0" w:type="dxa"/>
          </w:tblCellMar>
        </w:tblPrEx>
        <w:tc>
          <w:tcPr>
            <w:tcW w:w="2016" w:type="dxa"/>
          </w:tcPr>
          <w:p w:rsidR="005A5322" w:rsidRDefault="005A5322">
            <w:pPr>
              <w:spacing w:before="60" w:after="60"/>
              <w:jc w:val="center"/>
              <w:rPr>
                <w:sz w:val="22"/>
              </w:rPr>
            </w:pPr>
            <w:r>
              <w:rPr>
                <w:rFonts w:ascii="Arial" w:hAnsi="Arial"/>
                <w:sz w:val="22"/>
              </w:rPr>
              <w:t>Transport (12)</w:t>
            </w:r>
          </w:p>
        </w:tc>
        <w:tc>
          <w:tcPr>
            <w:tcW w:w="7340" w:type="dxa"/>
          </w:tcPr>
          <w:p w:rsidR="005A5322" w:rsidRDefault="005A5322">
            <w:pPr>
              <w:spacing w:before="60" w:after="60"/>
              <w:rPr>
                <w:sz w:val="22"/>
              </w:rPr>
            </w:pPr>
            <w:r>
              <w:rPr>
                <w:sz w:val="22"/>
              </w:rPr>
              <w:t> </w:t>
            </w:r>
          </w:p>
        </w:tc>
      </w:tr>
      <w:tr w:rsidR="005A5322">
        <w:tblPrEx>
          <w:tblCellMar>
            <w:top w:w="0" w:type="dxa"/>
            <w:bottom w:w="0" w:type="dxa"/>
          </w:tblCellMar>
        </w:tblPrEx>
        <w:tc>
          <w:tcPr>
            <w:tcW w:w="2016" w:type="dxa"/>
          </w:tcPr>
          <w:p w:rsidR="005A5322" w:rsidRDefault="005A5322">
            <w:pPr>
              <w:spacing w:before="60" w:after="60"/>
              <w:jc w:val="center"/>
              <w:rPr>
                <w:sz w:val="22"/>
              </w:rPr>
            </w:pPr>
            <w:r>
              <w:rPr>
                <w:rFonts w:ascii="Arial" w:hAnsi="Arial"/>
                <w:sz w:val="22"/>
              </w:rPr>
              <w:t>Courrier (a)</w:t>
            </w:r>
          </w:p>
        </w:tc>
        <w:tc>
          <w:tcPr>
            <w:tcW w:w="7340" w:type="dxa"/>
          </w:tcPr>
          <w:p w:rsidR="005A5322" w:rsidRDefault="005A5322">
            <w:pPr>
              <w:spacing w:before="60" w:after="60"/>
              <w:rPr>
                <w:sz w:val="22"/>
              </w:rPr>
            </w:pPr>
            <w:r>
              <w:rPr>
                <w:sz w:val="22"/>
              </w:rPr>
              <w:t> </w:t>
            </w:r>
          </w:p>
        </w:tc>
      </w:tr>
      <w:tr w:rsidR="005A5322">
        <w:tblPrEx>
          <w:tblCellMar>
            <w:top w:w="0" w:type="dxa"/>
            <w:bottom w:w="0" w:type="dxa"/>
          </w:tblCellMar>
        </w:tblPrEx>
        <w:tc>
          <w:tcPr>
            <w:tcW w:w="2016" w:type="dxa"/>
          </w:tcPr>
          <w:p w:rsidR="005A5322" w:rsidRDefault="005A5322">
            <w:pPr>
              <w:spacing w:before="60" w:after="60"/>
              <w:jc w:val="center"/>
              <w:rPr>
                <w:sz w:val="22"/>
              </w:rPr>
            </w:pPr>
            <w:r>
              <w:rPr>
                <w:rFonts w:ascii="Arial" w:hAnsi="Arial"/>
                <w:sz w:val="22"/>
              </w:rPr>
              <w:t>Commandes (b)</w:t>
            </w:r>
          </w:p>
        </w:tc>
        <w:tc>
          <w:tcPr>
            <w:tcW w:w="7340" w:type="dxa"/>
          </w:tcPr>
          <w:p w:rsidR="005A5322" w:rsidRDefault="005A5322">
            <w:pPr>
              <w:spacing w:before="60" w:after="60"/>
              <w:rPr>
                <w:sz w:val="22"/>
              </w:rPr>
            </w:pPr>
            <w:r>
              <w:rPr>
                <w:sz w:val="22"/>
              </w:rPr>
              <w:t> </w:t>
            </w:r>
          </w:p>
        </w:tc>
      </w:tr>
    </w:tbl>
    <w:p w:rsidR="005A5322" w:rsidRDefault="005A5322">
      <w:pPr>
        <w:pStyle w:val="Titre3"/>
        <w:spacing w:before="120"/>
      </w:pPr>
      <w:r>
        <w:t>V. Diversifiez les modèles offerts au catalogue</w:t>
      </w:r>
    </w:p>
    <w:p w:rsidR="005A5322" w:rsidRDefault="005A5322">
      <w:r>
        <w:t xml:space="preserve">A l'heure actuelle, Reactik offre dans son catalogue de </w:t>
      </w:r>
      <w:r>
        <w:rPr>
          <w:i/>
        </w:rPr>
        <w:t>valises standards</w:t>
      </w:r>
      <w:r>
        <w:t xml:space="preserve"> 120 modèles différents (voir schéma ci-dessous).</w:t>
      </w:r>
    </w:p>
    <w:p w:rsidR="005A5322" w:rsidRDefault="0008042C">
      <w:pPr>
        <w:jc w:val="center"/>
        <w:rPr>
          <w:rFonts w:ascii="Arial" w:hAnsi="Arial"/>
        </w:rPr>
      </w:pPr>
      <w:r>
        <w:rPr>
          <w:rFonts w:ascii="Arial" w:hAnsi="Arial"/>
          <w:noProof/>
        </w:rPr>
        <w:drawing>
          <wp:inline distT="0" distB="0" distL="0" distR="0">
            <wp:extent cx="5943600" cy="2714625"/>
            <wp:effectExtent l="19050" t="0" r="0" b="0"/>
            <wp:docPr id="3" name="Image 3" descr="reacti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tik3"/>
                    <pic:cNvPicPr>
                      <a:picLocks noChangeAspect="1" noChangeArrowheads="1"/>
                    </pic:cNvPicPr>
                  </pic:nvPicPr>
                  <pic:blipFill>
                    <a:blip r:embed="rId7" cstate="print"/>
                    <a:srcRect/>
                    <a:stretch>
                      <a:fillRect/>
                    </a:stretch>
                  </pic:blipFill>
                  <pic:spPr bwMode="auto">
                    <a:xfrm>
                      <a:off x="0" y="0"/>
                      <a:ext cx="5943600" cy="2714625"/>
                    </a:xfrm>
                    <a:prstGeom prst="rect">
                      <a:avLst/>
                    </a:prstGeom>
                    <a:noFill/>
                    <a:ln w="9525">
                      <a:noFill/>
                      <a:miter lim="800000"/>
                      <a:headEnd/>
                      <a:tailEnd/>
                    </a:ln>
                  </pic:spPr>
                </pic:pic>
              </a:graphicData>
            </a:graphic>
          </wp:inline>
        </w:drawing>
      </w:r>
    </w:p>
    <w:p w:rsidR="005A5322" w:rsidRDefault="005A5322">
      <w:pPr>
        <w:jc w:val="center"/>
        <w:rPr>
          <w:rFonts w:ascii="Arial" w:hAnsi="Arial"/>
          <w:i/>
          <w:sz w:val="20"/>
        </w:rPr>
      </w:pPr>
      <w:r>
        <w:rPr>
          <w:rFonts w:ascii="Arial" w:hAnsi="Arial"/>
          <w:i/>
          <w:sz w:val="20"/>
        </w:rPr>
        <w:t>Cette courbe montre comment la variété augmente à chaque étape de production (catalogue actuel).</w:t>
      </w:r>
    </w:p>
    <w:p w:rsidR="005A5322" w:rsidRDefault="005A5322">
      <w:pPr>
        <w:spacing w:after="80"/>
        <w:rPr>
          <w:spacing w:val="-6"/>
        </w:rPr>
      </w:pPr>
      <w:r>
        <w:rPr>
          <w:spacing w:val="-6"/>
        </w:rPr>
        <w:t>La valeur unitaire de l’encours de fabrication à l’issue des trois phases du processus est la suivante: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66"/>
        <w:gridCol w:w="3166"/>
        <w:gridCol w:w="2918"/>
      </w:tblGrid>
      <w:tr w:rsidR="005A5322" w:rsidRPr="005B6FC0">
        <w:tblPrEx>
          <w:tblCellMar>
            <w:top w:w="0" w:type="dxa"/>
            <w:bottom w:w="0" w:type="dxa"/>
          </w:tblCellMar>
        </w:tblPrEx>
        <w:tc>
          <w:tcPr>
            <w:tcW w:w="3166" w:type="dxa"/>
          </w:tcPr>
          <w:p w:rsidR="005A5322" w:rsidRPr="005B6FC0" w:rsidRDefault="005A5322" w:rsidP="005B6FC0">
            <w:pPr>
              <w:spacing w:before="120"/>
              <w:jc w:val="center"/>
              <w:rPr>
                <w:rFonts w:ascii="Arial" w:hAnsi="Arial"/>
                <w:sz w:val="22"/>
                <w:szCs w:val="22"/>
              </w:rPr>
            </w:pPr>
            <w:r w:rsidRPr="005B6FC0">
              <w:rPr>
                <w:rFonts w:ascii="Arial" w:hAnsi="Arial"/>
                <w:sz w:val="22"/>
                <w:szCs w:val="22"/>
              </w:rPr>
              <w:t>Débit</w:t>
            </w:r>
          </w:p>
        </w:tc>
        <w:tc>
          <w:tcPr>
            <w:tcW w:w="3166" w:type="dxa"/>
          </w:tcPr>
          <w:p w:rsidR="005A5322" w:rsidRPr="005B6FC0" w:rsidRDefault="005A5322" w:rsidP="005B6FC0">
            <w:pPr>
              <w:spacing w:before="120"/>
              <w:jc w:val="center"/>
              <w:rPr>
                <w:rFonts w:ascii="Arial" w:hAnsi="Arial"/>
                <w:sz w:val="22"/>
                <w:szCs w:val="22"/>
              </w:rPr>
            </w:pPr>
            <w:r w:rsidRPr="005B6FC0">
              <w:rPr>
                <w:rFonts w:ascii="Arial" w:hAnsi="Arial"/>
                <w:sz w:val="22"/>
                <w:szCs w:val="22"/>
              </w:rPr>
              <w:t>Vernis</w:t>
            </w:r>
          </w:p>
        </w:tc>
        <w:tc>
          <w:tcPr>
            <w:tcW w:w="2918" w:type="dxa"/>
          </w:tcPr>
          <w:p w:rsidR="005A5322" w:rsidRPr="005B6FC0" w:rsidRDefault="005A5322" w:rsidP="005B6FC0">
            <w:pPr>
              <w:spacing w:before="120"/>
              <w:jc w:val="center"/>
              <w:rPr>
                <w:rFonts w:ascii="Arial" w:hAnsi="Arial"/>
                <w:sz w:val="22"/>
                <w:szCs w:val="22"/>
              </w:rPr>
            </w:pPr>
            <w:r w:rsidRPr="005B6FC0">
              <w:rPr>
                <w:rFonts w:ascii="Arial" w:hAnsi="Arial"/>
                <w:sz w:val="22"/>
                <w:szCs w:val="22"/>
              </w:rPr>
              <w:t>Montage</w:t>
            </w:r>
          </w:p>
        </w:tc>
      </w:tr>
      <w:tr w:rsidR="005A5322" w:rsidRPr="005B6FC0">
        <w:tblPrEx>
          <w:tblCellMar>
            <w:top w:w="0" w:type="dxa"/>
            <w:bottom w:w="0" w:type="dxa"/>
          </w:tblCellMar>
        </w:tblPrEx>
        <w:trPr>
          <w:trHeight w:val="196"/>
        </w:trPr>
        <w:tc>
          <w:tcPr>
            <w:tcW w:w="3166" w:type="dxa"/>
          </w:tcPr>
          <w:p w:rsidR="005A5322" w:rsidRPr="005B6FC0" w:rsidRDefault="005A5322" w:rsidP="005B6FC0">
            <w:pPr>
              <w:spacing w:before="120"/>
              <w:jc w:val="center"/>
              <w:rPr>
                <w:rFonts w:ascii="Arial" w:hAnsi="Arial"/>
                <w:sz w:val="22"/>
                <w:szCs w:val="22"/>
              </w:rPr>
            </w:pPr>
            <w:r w:rsidRPr="005B6FC0">
              <w:rPr>
                <w:rFonts w:ascii="Arial" w:hAnsi="Arial"/>
                <w:sz w:val="22"/>
                <w:szCs w:val="22"/>
              </w:rPr>
              <w:t>2,3 €</w:t>
            </w:r>
          </w:p>
        </w:tc>
        <w:tc>
          <w:tcPr>
            <w:tcW w:w="3166" w:type="dxa"/>
          </w:tcPr>
          <w:p w:rsidR="005A5322" w:rsidRPr="005B6FC0" w:rsidRDefault="005A5322" w:rsidP="005B6FC0">
            <w:pPr>
              <w:pStyle w:val="DefinitionTerm"/>
              <w:spacing w:after="100"/>
              <w:jc w:val="center"/>
              <w:rPr>
                <w:rFonts w:ascii="Arial" w:hAnsi="Arial"/>
                <w:szCs w:val="22"/>
              </w:rPr>
            </w:pPr>
            <w:r w:rsidRPr="005B6FC0">
              <w:rPr>
                <w:rFonts w:ascii="Arial" w:hAnsi="Arial"/>
                <w:szCs w:val="22"/>
              </w:rPr>
              <w:t>3,2 €</w:t>
            </w:r>
          </w:p>
        </w:tc>
        <w:tc>
          <w:tcPr>
            <w:tcW w:w="2918" w:type="dxa"/>
          </w:tcPr>
          <w:p w:rsidR="005A5322" w:rsidRPr="005B6FC0" w:rsidRDefault="005A5322" w:rsidP="005B6FC0">
            <w:pPr>
              <w:spacing w:before="120"/>
              <w:jc w:val="center"/>
              <w:rPr>
                <w:rFonts w:ascii="Arial" w:hAnsi="Arial"/>
                <w:sz w:val="22"/>
                <w:szCs w:val="22"/>
              </w:rPr>
            </w:pPr>
            <w:r w:rsidRPr="005B6FC0">
              <w:rPr>
                <w:rFonts w:ascii="Arial" w:hAnsi="Arial"/>
                <w:sz w:val="22"/>
                <w:szCs w:val="22"/>
              </w:rPr>
              <w:t>4 €</w:t>
            </w:r>
          </w:p>
        </w:tc>
      </w:tr>
    </w:tbl>
    <w:p w:rsidR="005A5322" w:rsidRDefault="005A5322">
      <w:pPr>
        <w:pStyle w:val="Titre4"/>
      </w:pPr>
      <w:r>
        <w:t>Question</w:t>
      </w:r>
    </w:p>
    <w:p w:rsidR="005A5322" w:rsidRDefault="005A5322">
      <w:r>
        <w:t xml:space="preserve">La difficulté à laquelle se trouve confrontée Reactik est la suivante : les clients attendent des valises offrant </w:t>
      </w:r>
      <w:r>
        <w:rPr>
          <w:i/>
        </w:rPr>
        <w:t>une grande diversité dans la combinaison des accessoires</w:t>
      </w:r>
      <w:r>
        <w:t>, et en même temps ils souhaitent être livrés rapidement</w:t>
      </w:r>
      <w:r>
        <w:rPr>
          <w:i/>
        </w:rPr>
        <w:t xml:space="preserve">. </w:t>
      </w:r>
      <w:r>
        <w:t xml:space="preserve">Ainsi ils veulent la </w:t>
      </w:r>
      <w:r>
        <w:rPr>
          <w:i/>
        </w:rPr>
        <w:t>variété</w:t>
      </w:r>
      <w:r>
        <w:t xml:space="preserve"> des valises de luxe dans le </w:t>
      </w:r>
      <w:r>
        <w:rPr>
          <w:i/>
        </w:rPr>
        <w:t>délai</w:t>
      </w:r>
      <w:r>
        <w:t xml:space="preserve"> des valises standard (six jours). </w:t>
      </w:r>
    </w:p>
    <w:p w:rsidR="005A5322" w:rsidRDefault="005A5322">
      <w:r>
        <w:t>Il faudrait multiplier</w:t>
      </w:r>
      <w:r>
        <w:rPr>
          <w:i/>
        </w:rPr>
        <w:t xml:space="preserve"> </w:t>
      </w:r>
      <w:r>
        <w:t xml:space="preserve">par 5 la variété des modèles offerts au catalogue. Mais il est exclu de tenir en stock 600 valises, car les ventes mensuelles de chaque modèle sont trop faibles pour faire des prévisions fiables. Que proposez-vous ? </w:t>
      </w:r>
    </w:p>
    <w:p w:rsidR="005A5322" w:rsidRDefault="005A5322">
      <w:pPr>
        <w:pStyle w:val="Titre4"/>
      </w:pPr>
      <w:r>
        <w:t>Question complémentaire</w:t>
      </w:r>
    </w:p>
    <w:p w:rsidR="005A5322" w:rsidRDefault="005A5322">
      <w:r>
        <w:t xml:space="preserve">Que se passe-t-il chez Reactik si les ventes augmentent sans qu'on l'ait prévu ? </w:t>
      </w:r>
    </w:p>
    <w:p w:rsidR="005A5322" w:rsidRDefault="005A5322">
      <w:pPr>
        <w:jc w:val="center"/>
      </w:pPr>
      <w:r>
        <w:object w:dxaOrig="10816" w:dyaOrig="15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61.5pt" o:ole="">
            <v:imagedata r:id="rId8" o:title=""/>
          </v:shape>
          <o:OLEObject Type="Embed" ProgID="PaintShopPro" ShapeID="_x0000_i1025" DrawAspect="Content" ObjectID="_1582442881" r:id="rId9"/>
        </w:object>
      </w:r>
    </w:p>
    <w:sectPr w:rsidR="005A5322">
      <w:pgSz w:w="11906" w:h="16838"/>
      <w:pgMar w:top="1078"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9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1A84743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24FA502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498A7C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4EC17FA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5A913340"/>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compat/>
  <w:rsids>
    <w:rsidRoot w:val="009F3A0F"/>
    <w:rsid w:val="0008042C"/>
    <w:rsid w:val="005A5322"/>
    <w:rsid w:val="005B6FC0"/>
    <w:rsid w:val="008D099B"/>
    <w:rsid w:val="0092024D"/>
    <w:rsid w:val="0092642F"/>
    <w:rsid w:val="00970F1C"/>
    <w:rsid w:val="009F3A0F"/>
    <w:rsid w:val="00B85E33"/>
    <w:rsid w:val="00BD566E"/>
    <w:rsid w:val="00D67E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ind w:left="360"/>
      <w:outlineLvl w:val="0"/>
    </w:pPr>
    <w:rPr>
      <w:rFonts w:ascii="Arial" w:hAnsi="Arial"/>
      <w:b/>
      <w:i/>
      <w:sz w:val="22"/>
    </w:rPr>
  </w:style>
  <w:style w:type="paragraph" w:styleId="Titre2">
    <w:name w:val="heading 2"/>
    <w:basedOn w:val="Normal"/>
    <w:next w:val="Normal"/>
    <w:qFormat/>
    <w:pPr>
      <w:keepNext/>
      <w:pBdr>
        <w:bottom w:val="single" w:sz="4" w:space="1" w:color="auto"/>
      </w:pBdr>
      <w:spacing w:before="240" w:after="60"/>
      <w:jc w:val="both"/>
      <w:outlineLvl w:val="1"/>
    </w:pPr>
    <w:rPr>
      <w:rFonts w:ascii="Arial" w:hAnsi="Arial" w:cs="Arial"/>
      <w:b/>
      <w:bCs/>
      <w:i/>
      <w:iCs/>
      <w:sz w:val="28"/>
      <w:szCs w:val="28"/>
    </w:rPr>
  </w:style>
  <w:style w:type="paragraph" w:styleId="Titre3">
    <w:name w:val="heading 3"/>
    <w:basedOn w:val="Normal"/>
    <w:next w:val="Normal"/>
    <w:qFormat/>
    <w:pPr>
      <w:keepNext/>
      <w:spacing w:before="240" w:after="60"/>
      <w:jc w:val="both"/>
      <w:outlineLvl w:val="2"/>
    </w:pPr>
    <w:rPr>
      <w:rFonts w:ascii="Arial" w:hAnsi="Arial" w:cs="Arial"/>
      <w:b/>
      <w:bCs/>
      <w:sz w:val="26"/>
      <w:szCs w:val="26"/>
    </w:rPr>
  </w:style>
  <w:style w:type="paragraph" w:styleId="Titre4">
    <w:name w:val="heading 4"/>
    <w:basedOn w:val="Normal"/>
    <w:next w:val="Normal"/>
    <w:qFormat/>
    <w:pPr>
      <w:keepNext/>
      <w:spacing w:before="240" w:after="60"/>
      <w:jc w:val="both"/>
      <w:outlineLvl w:val="3"/>
    </w:pPr>
    <w:rPr>
      <w:rFonts w:ascii="Arial" w:hAnsi="Arial"/>
      <w:b/>
      <w:bCs/>
      <w:sz w:val="22"/>
      <w:szCs w:val="28"/>
    </w:rPr>
  </w:style>
  <w:style w:type="paragraph" w:styleId="Titre9">
    <w:name w:val="heading 9"/>
    <w:basedOn w:val="Normal"/>
    <w:next w:val="Normal"/>
    <w:qFormat/>
    <w:pPr>
      <w:spacing w:before="240" w:after="60"/>
      <w:jc w:val="both"/>
      <w:outlineLvl w:val="8"/>
    </w:pPr>
    <w:rPr>
      <w:rFonts w:ascii="Arial" w:hAnsi="Arial" w:cs="Arial"/>
      <w:b/>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widowControl w:val="0"/>
      <w:spacing w:before="120"/>
      <w:ind w:left="360"/>
      <w:jc w:val="both"/>
    </w:pPr>
    <w:rPr>
      <w:rFonts w:ascii="Arial" w:hAnsi="Arial"/>
      <w:sz w:val="22"/>
    </w:rPr>
  </w:style>
  <w:style w:type="paragraph" w:customStyle="1" w:styleId="DefinitionList">
    <w:name w:val="Definition List"/>
    <w:basedOn w:val="Normal"/>
    <w:next w:val="DefinitionTerm"/>
    <w:pPr>
      <w:widowControl w:val="0"/>
      <w:spacing w:before="120"/>
      <w:ind w:left="360"/>
      <w:jc w:val="both"/>
    </w:pPr>
    <w:rPr>
      <w:sz w:val="22"/>
    </w:rPr>
  </w:style>
  <w:style w:type="paragraph" w:customStyle="1" w:styleId="DefinitionTerm">
    <w:name w:val="Definition Term"/>
    <w:basedOn w:val="Normal"/>
    <w:next w:val="DefinitionList"/>
    <w:pPr>
      <w:widowControl w:val="0"/>
      <w:spacing w:before="120"/>
      <w:jc w:val="both"/>
    </w:pPr>
    <w:rPr>
      <w:sz w:val="22"/>
    </w:rPr>
  </w:style>
  <w:style w:type="paragraph" w:styleId="Lgende">
    <w:name w:val="caption"/>
    <w:basedOn w:val="Normal"/>
    <w:next w:val="Normal"/>
    <w:qFormat/>
    <w:pPr>
      <w:keepNext/>
      <w:tabs>
        <w:tab w:val="left" w:pos="2251"/>
        <w:tab w:val="left" w:pos="3468"/>
        <w:tab w:val="left" w:pos="4685"/>
        <w:tab w:val="left" w:pos="5902"/>
        <w:tab w:val="left" w:pos="7119"/>
        <w:tab w:val="left" w:pos="8255"/>
      </w:tabs>
      <w:ind w:left="720"/>
    </w:pPr>
    <w:rPr>
      <w:rFonts w:ascii="Arial" w:hAnsi="Arial"/>
      <w:b/>
      <w:i/>
      <w:sz w:val="22"/>
    </w:rPr>
  </w:style>
  <w:style w:type="paragraph" w:styleId="Textedebulles">
    <w:name w:val="Balloon Text"/>
    <w:basedOn w:val="Normal"/>
    <w:semiHidden/>
    <w:rsid w:val="00970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1417</Words>
  <Characters>7797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Exercice REACTIK</vt:lpstr>
    </vt:vector>
  </TitlesOfParts>
  <Company>CCIP</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 REACTIK</dc:title>
  <dc:creator>USER</dc:creator>
  <cp:lastModifiedBy>GERARD</cp:lastModifiedBy>
  <cp:revision>2</cp:revision>
  <cp:lastPrinted>2008-06-30T13:36:00Z</cp:lastPrinted>
  <dcterms:created xsi:type="dcterms:W3CDTF">2018-03-13T09:41:00Z</dcterms:created>
  <dcterms:modified xsi:type="dcterms:W3CDTF">2018-03-13T09:41:00Z</dcterms:modified>
</cp:coreProperties>
</file>