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4FB">
      <w:pPr>
        <w:pStyle w:val="Titre2"/>
      </w:pPr>
      <w:bookmarkStart w:id="0" w:name="_Toc50441551"/>
      <w:r>
        <w:t>Exercice Bobato</w:t>
      </w:r>
      <w:bookmarkEnd w:id="0"/>
    </w:p>
    <w:p w:rsidR="00000000" w:rsidRDefault="004B64FB">
      <w:r>
        <w:t>La société Bobato fabrique des objets de loisir en PVC soudé par soudure autogène.</w:t>
      </w:r>
    </w:p>
    <w:p w:rsidR="00000000" w:rsidRDefault="004B64FB">
      <w:pPr>
        <w:keepNext/>
      </w:pPr>
      <w:r>
        <w:t>La fabrication repose sur les principes suivants :</w:t>
      </w:r>
    </w:p>
    <w:p w:rsidR="00000000" w:rsidRDefault="004B64FB">
      <w:pPr>
        <w:pStyle w:val="PL"/>
        <w:numPr>
          <w:ilvl w:val="0"/>
          <w:numId w:val="1"/>
        </w:numPr>
      </w:pPr>
      <w:r>
        <w:t>lancement d’une série de produits, par exemple 500 bateaux petit modèle pour la plage ;</w:t>
      </w:r>
    </w:p>
    <w:p w:rsidR="00000000" w:rsidRDefault="004B64FB">
      <w:pPr>
        <w:pStyle w:val="PL"/>
        <w:numPr>
          <w:ilvl w:val="0"/>
          <w:numId w:val="1"/>
        </w:numPr>
      </w:pPr>
      <w:r>
        <w:t>sortie de la feuil</w:t>
      </w:r>
      <w:r>
        <w:t>le PVC et des composants du magasin de matières premières (les composants sont des accessoires, des valves, des pla</w:t>
      </w:r>
      <w:r>
        <w:t>n</w:t>
      </w:r>
      <w:r>
        <w:t>chers, des avirons, etc.) ;</w:t>
      </w:r>
    </w:p>
    <w:p w:rsidR="00000000" w:rsidRDefault="004B64FB">
      <w:pPr>
        <w:pStyle w:val="PL"/>
        <w:numPr>
          <w:ilvl w:val="0"/>
          <w:numId w:val="1"/>
        </w:numPr>
      </w:pPr>
      <w:r>
        <w:t>découpe des feuilles pour 500 bateaux (selon les différents morceaux nécessaires pour réaliser un article comple</w:t>
      </w:r>
      <w:r>
        <w:t>t) ;</w:t>
      </w:r>
    </w:p>
    <w:p w:rsidR="00000000" w:rsidRDefault="004B64FB">
      <w:pPr>
        <w:pStyle w:val="PL"/>
        <w:numPr>
          <w:ilvl w:val="0"/>
          <w:numId w:val="1"/>
        </w:numPr>
      </w:pPr>
      <w:r>
        <w:t>impression des feuilles ;</w:t>
      </w:r>
    </w:p>
    <w:p w:rsidR="00000000" w:rsidRDefault="004B64FB">
      <w:pPr>
        <w:pStyle w:val="PL"/>
        <w:numPr>
          <w:ilvl w:val="0"/>
          <w:numId w:val="1"/>
        </w:numPr>
      </w:pPr>
      <w:r>
        <w:t>assemblage des feuilles par soudure ;</w:t>
      </w:r>
    </w:p>
    <w:p w:rsidR="00000000" w:rsidRDefault="004B64FB">
      <w:pPr>
        <w:pStyle w:val="PL"/>
        <w:numPr>
          <w:ilvl w:val="0"/>
          <w:numId w:val="1"/>
        </w:numPr>
      </w:pPr>
      <w:r>
        <w:t>gonflage pour contrôle puis emballage.</w:t>
      </w:r>
    </w:p>
    <w:p w:rsidR="00000000" w:rsidRDefault="004B64FB">
      <w:r>
        <w:t>Le schéma ci-dessous visualise ce processus d’ensemble.</w:t>
      </w:r>
    </w:p>
    <w:p w:rsidR="00000000" w:rsidRDefault="00A10BEC">
      <w:pPr>
        <w:pStyle w:val="Figure"/>
        <w:spacing w:before="120"/>
      </w:pPr>
      <w:r>
        <w:drawing>
          <wp:inline distT="0" distB="0" distL="0" distR="0">
            <wp:extent cx="3962400" cy="1181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11127" b="-1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64FB">
      <w:r>
        <w:t>La soudure elle-même se fait en 4 à 5 opérations successives sur des machines de puissance</w:t>
      </w:r>
      <w:r>
        <w:t>s variées. L’atelier de soudure est organisé selon le schéma ci-dessous ; les flèches représentent le trajet suivi par le lot fictif de bateaux. Les machines sont polyvalentes, c’est-à-dire que dans la même semaine une machine donnée peut aussi bien réalis</w:t>
      </w:r>
      <w:r>
        <w:t>er une so</w:t>
      </w:r>
      <w:r>
        <w:t>u</w:t>
      </w:r>
      <w:r>
        <w:t>dure sur un bateau, une bouée, une piscine ou un canard gonflable (à condition de rester dans sa gamme de puissance et d’être réglée entre deux fabrications différentes).</w:t>
      </w:r>
    </w:p>
    <w:p w:rsidR="00000000" w:rsidRDefault="00A10BEC">
      <w:pPr>
        <w:pStyle w:val="Figure"/>
        <w:spacing w:before="120"/>
      </w:pPr>
      <w:r>
        <w:drawing>
          <wp:inline distT="0" distB="0" distL="0" distR="0">
            <wp:extent cx="4029075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64FB">
      <w:r>
        <w:t>L’exercice consiste à analyser les problèmes éventuels de planific</w:t>
      </w:r>
      <w:r>
        <w:t>a</w:t>
      </w:r>
      <w:r>
        <w:softHyphen/>
        <w:t xml:space="preserve">tion </w:t>
      </w:r>
      <w:r>
        <w:t>qui peuvent se présenter dans l’atelier de soudure. Pour ce faire, vous raisonnerez sur l’exemple d’une semaine particulière.</w:t>
      </w:r>
    </w:p>
    <w:p w:rsidR="00000000" w:rsidRDefault="004B64FB">
      <w:r>
        <w:t>On dispose des données suivantes sur le potentiel de production :</w:t>
      </w:r>
    </w:p>
    <w:p w:rsidR="00000000" w:rsidRDefault="004B64FB">
      <w:pPr>
        <w:keepNext/>
        <w:numPr>
          <w:ilvl w:val="0"/>
          <w:numId w:val="1"/>
        </w:numPr>
        <w:tabs>
          <w:tab w:val="right" w:pos="2835"/>
          <w:tab w:val="left" w:pos="2977"/>
        </w:tabs>
        <w:spacing w:line="267" w:lineRule="atLeast"/>
      </w:pPr>
      <w:r>
        <w:t xml:space="preserve">Nombre de machines : </w:t>
      </w:r>
      <w:r>
        <w:tab/>
        <w:t>19</w:t>
      </w:r>
      <w:r>
        <w:tab/>
        <w:t>de petite puissance</w:t>
      </w:r>
    </w:p>
    <w:p w:rsidR="00000000" w:rsidRDefault="004B64FB">
      <w:pPr>
        <w:keepNext/>
        <w:tabs>
          <w:tab w:val="right" w:pos="2835"/>
          <w:tab w:val="left" w:pos="2977"/>
        </w:tabs>
        <w:spacing w:line="267" w:lineRule="atLeast"/>
      </w:pPr>
      <w:r>
        <w:tab/>
        <w:t>10</w:t>
      </w:r>
      <w:r>
        <w:tab/>
        <w:t>de moyenne puis</w:t>
      </w:r>
      <w:r>
        <w:t>sance</w:t>
      </w:r>
    </w:p>
    <w:p w:rsidR="00000000" w:rsidRDefault="004B64FB">
      <w:pPr>
        <w:tabs>
          <w:tab w:val="right" w:pos="2835"/>
          <w:tab w:val="left" w:pos="2977"/>
        </w:tabs>
        <w:spacing w:line="264" w:lineRule="atLeast"/>
      </w:pPr>
      <w:r>
        <w:tab/>
        <w:t>6</w:t>
      </w:r>
      <w:r>
        <w:tab/>
        <w:t>de forte puissance</w:t>
      </w:r>
    </w:p>
    <w:p w:rsidR="00000000" w:rsidRDefault="004B64FB">
      <w:pPr>
        <w:numPr>
          <w:ilvl w:val="0"/>
          <w:numId w:val="1"/>
        </w:numPr>
      </w:pPr>
      <w:r>
        <w:t>Il faut un opérateur par machine sauf pour les machines de forte puissance qui doivent être servies par 2 personnes.</w:t>
      </w:r>
    </w:p>
    <w:p w:rsidR="00000000" w:rsidRDefault="004B64FB">
      <w:pPr>
        <w:numPr>
          <w:ilvl w:val="0"/>
          <w:numId w:val="1"/>
        </w:numPr>
      </w:pPr>
      <w:r>
        <w:t>Effectif inscrit pour l’atelier de soudure : 38 opérateurs polyv</w:t>
      </w:r>
      <w:r>
        <w:t>a</w:t>
      </w:r>
      <w:r>
        <w:t>lents.</w:t>
      </w:r>
    </w:p>
    <w:p w:rsidR="00000000" w:rsidRDefault="004B64FB">
      <w:pPr>
        <w:numPr>
          <w:ilvl w:val="0"/>
          <w:numId w:val="1"/>
        </w:numPr>
      </w:pPr>
      <w:r>
        <w:t>Horaire de travail : 8 heures par jour,</w:t>
      </w:r>
      <w:r>
        <w:t xml:space="preserve"> 5 jours par semaine.</w:t>
      </w:r>
    </w:p>
    <w:p w:rsidR="00000000" w:rsidRDefault="004B64FB">
      <w:pPr>
        <w:numPr>
          <w:ilvl w:val="0"/>
          <w:numId w:val="1"/>
        </w:numPr>
      </w:pPr>
      <w:r>
        <w:lastRenderedPageBreak/>
        <w:t>Absentéisme moyen : 10 %.</w:t>
      </w:r>
    </w:p>
    <w:p w:rsidR="00000000" w:rsidRDefault="004B64FB">
      <w:pPr>
        <w:spacing w:after="120"/>
      </w:pPr>
      <w:r>
        <w:t>Les séquences opératoires ou gammes de soudure que doit suivre une sélection de 6 articles fabriqués figurent dans le tableau ci-dessous.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327"/>
        <w:gridCol w:w="1276"/>
        <w:gridCol w:w="1276"/>
        <w:gridCol w:w="1276"/>
        <w:gridCol w:w="12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Opération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jc w:val="center"/>
              <w:rPr>
                <w:sz w:val="20"/>
              </w:rPr>
            </w:pPr>
            <w:r>
              <w:rPr>
                <w:sz w:val="20"/>
              </w:rPr>
              <w:t>Taille 1</w:t>
            </w:r>
            <w:r>
              <w:rPr>
                <w:sz w:val="20"/>
              </w:rPr>
              <w:br/>
              <w:t>Cadence (pièces/h)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jc w:val="center"/>
              <w:rPr>
                <w:sz w:val="20"/>
              </w:rPr>
            </w:pPr>
            <w:r>
              <w:rPr>
                <w:sz w:val="20"/>
              </w:rPr>
              <w:t>Taille 2</w:t>
            </w:r>
            <w:r>
              <w:rPr>
                <w:sz w:val="20"/>
              </w:rPr>
              <w:br/>
              <w:t>Cadence (pièces/h)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Pui</w:t>
            </w:r>
            <w:r>
              <w:rPr>
                <w:sz w:val="20"/>
              </w:rPr>
              <w:t>ssance de la machine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Fond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Moyenne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Valve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24" w:type="dxa"/>
            <w:tcBorders>
              <w:left w:val="nil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Faible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BATEAUX</w:t>
            </w:r>
          </w:p>
        </w:tc>
        <w:tc>
          <w:tcPr>
            <w:tcW w:w="1276" w:type="dxa"/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Poignée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24" w:type="dxa"/>
            <w:tcBorders>
              <w:left w:val="nil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Faible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Ceinture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24" w:type="dxa"/>
            <w:tcBorders>
              <w:left w:val="nil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Forte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Fermeture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Forte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Valve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Faible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PISCINES</w:t>
            </w:r>
          </w:p>
        </w:tc>
        <w:tc>
          <w:tcPr>
            <w:tcW w:w="1276" w:type="dxa"/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Boudin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4" w:type="dxa"/>
            <w:tcBorders>
              <w:left w:val="nil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Moyenne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Fond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Forte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Valve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Faible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BOUEES</w:t>
            </w:r>
          </w:p>
        </w:tc>
        <w:tc>
          <w:tcPr>
            <w:tcW w:w="1276" w:type="dxa"/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Intérieur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24" w:type="dxa"/>
            <w:tcBorders>
              <w:left w:val="nil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Faible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Extérieur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Lines/>
              <w:spacing w:before="36" w:after="36"/>
              <w:rPr>
                <w:sz w:val="20"/>
              </w:rPr>
            </w:pPr>
            <w:r>
              <w:rPr>
                <w:sz w:val="20"/>
              </w:rPr>
              <w:t>Moyenne</w:t>
            </w:r>
          </w:p>
        </w:tc>
      </w:tr>
    </w:tbl>
    <w:p w:rsidR="00000000" w:rsidRDefault="004B64FB">
      <w:pPr>
        <w:spacing w:after="120"/>
      </w:pPr>
      <w:r>
        <w:t>Pour ces articles, le programme de la semaine est le su</w:t>
      </w:r>
      <w:r>
        <w:t>i</w:t>
      </w:r>
      <w:r>
        <w:t>vant 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4"/>
        <w:gridCol w:w="2268"/>
        <w:gridCol w:w="22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Next/>
              <w:spacing w:before="36" w:after="36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Next/>
              <w:spacing w:before="36" w:after="36"/>
              <w:jc w:val="center"/>
              <w:rPr>
                <w:sz w:val="20"/>
              </w:rPr>
            </w:pPr>
            <w:r>
              <w:rPr>
                <w:sz w:val="20"/>
              </w:rPr>
              <w:t>Taille 1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keepNext/>
              <w:spacing w:before="36" w:after="36"/>
              <w:jc w:val="center"/>
              <w:rPr>
                <w:sz w:val="20"/>
              </w:rPr>
            </w:pPr>
            <w:r>
              <w:rPr>
                <w:sz w:val="20"/>
              </w:rPr>
              <w:t>Taille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spacing w:before="36" w:after="36"/>
              <w:rPr>
                <w:sz w:val="20"/>
              </w:rPr>
            </w:pPr>
            <w:r>
              <w:rPr>
                <w:sz w:val="20"/>
              </w:rPr>
              <w:t>Bateaux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B64FB">
            <w:pPr>
              <w:spacing w:before="36" w:after="36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B64FB">
            <w:pPr>
              <w:spacing w:before="36" w:after="36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64FB">
            <w:pPr>
              <w:spacing w:before="36" w:after="36"/>
              <w:rPr>
                <w:sz w:val="20"/>
              </w:rPr>
            </w:pPr>
            <w:r>
              <w:rPr>
                <w:sz w:val="20"/>
              </w:rPr>
              <w:t>Piscines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000000" w:rsidRDefault="004B64FB">
            <w:pPr>
              <w:spacing w:before="36" w:after="36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217" w:type="dxa"/>
            <w:tcBorders>
              <w:left w:val="nil"/>
              <w:right w:val="single" w:sz="6" w:space="0" w:color="auto"/>
            </w:tcBorders>
          </w:tcPr>
          <w:p w:rsidR="00000000" w:rsidRDefault="004B64FB">
            <w:pPr>
              <w:spacing w:before="36" w:after="36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spacing w:before="36" w:after="36"/>
              <w:rPr>
                <w:sz w:val="20"/>
              </w:rPr>
            </w:pPr>
            <w:r>
              <w:rPr>
                <w:sz w:val="20"/>
              </w:rPr>
              <w:t>Bouées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spacing w:before="36" w:after="36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22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B64FB">
            <w:pPr>
              <w:spacing w:before="36" w:after="36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12 000</w:t>
            </w:r>
          </w:p>
        </w:tc>
      </w:tr>
    </w:tbl>
    <w:p w:rsidR="00000000" w:rsidRDefault="004B64FB">
      <w:r>
        <w:t>Les quantités hebdomadaires dans chaque modèle-taille sont hab</w:t>
      </w:r>
      <w:r>
        <w:t>i</w:t>
      </w:r>
      <w:r>
        <w:softHyphen/>
        <w:t xml:space="preserve">tuellement </w:t>
      </w:r>
      <w:r>
        <w:t>lancées en un seul lot. Le temps de réglage par machine pour chaque lot correspondant à chaque modèle-taille est d’une demi-heure en moyenne. Ces réglages sont effectués par les ouvriers eux-mêmes.</w:t>
      </w:r>
    </w:p>
    <w:p w:rsidR="00000000" w:rsidRDefault="004B64FB">
      <w:pPr>
        <w:pStyle w:val="Titre3"/>
      </w:pPr>
      <w:r>
        <w:t>Questions</w:t>
      </w:r>
    </w:p>
    <w:p w:rsidR="00000000" w:rsidRDefault="004B64FB">
      <w:r>
        <w:rPr>
          <w:b/>
        </w:rPr>
        <w:t>1</w:t>
      </w:r>
      <w:r>
        <w:t>/ Analyser l’équilibre charge/capacité de l’ate</w:t>
      </w:r>
      <w:r>
        <w:t>lier de soudure pour la semaine à venir, par classe de machines et pour l’effectif. Le travail sera fait sur la base d’une comparaison en heures.</w:t>
      </w:r>
    </w:p>
    <w:p w:rsidR="00000000" w:rsidRDefault="004B64FB">
      <w:r>
        <w:t>Commentez ces résultats. En particulier, quelles décisions prendriez-vous si vous deviez avoir un potentiel in</w:t>
      </w:r>
      <w:r>
        <w:t>suffisant ?</w:t>
      </w:r>
    </w:p>
    <w:p w:rsidR="00000000" w:rsidRDefault="004B64FB">
      <w:r>
        <w:t>Dans l’état actuel, sur quelles machines feriez-vous porter votre e</w:t>
      </w:r>
      <w:r>
        <w:t>f</w:t>
      </w:r>
      <w:r>
        <w:t>fort pour en accroître la fiabilité ?</w:t>
      </w:r>
    </w:p>
    <w:p w:rsidR="00000000" w:rsidRDefault="004B64FB">
      <w:r>
        <w:rPr>
          <w:b/>
        </w:rPr>
        <w:t>2</w:t>
      </w:r>
      <w:r>
        <w:t>/ Pour l’année prochaine, la production de Bobato doit s’accroître. Le programme prévisionnel est le suivant :</w:t>
      </w:r>
    </w:p>
    <w:p w:rsidR="00000000" w:rsidRDefault="004B64FB">
      <w:pPr>
        <w:keepNext/>
        <w:tabs>
          <w:tab w:val="right" w:pos="2268"/>
          <w:tab w:val="left" w:pos="2410"/>
        </w:tabs>
        <w:spacing w:line="264" w:lineRule="atLeast"/>
      </w:pPr>
      <w:r>
        <w:tab/>
        <w:t>120 000</w:t>
      </w:r>
      <w:r>
        <w:tab/>
        <w:t>bateaux (en 12 mo</w:t>
      </w:r>
      <w:r>
        <w:t>dèles différents),</w:t>
      </w:r>
    </w:p>
    <w:p w:rsidR="00000000" w:rsidRDefault="004B64FB">
      <w:pPr>
        <w:tabs>
          <w:tab w:val="right" w:pos="2268"/>
          <w:tab w:val="left" w:pos="2410"/>
        </w:tabs>
        <w:spacing w:line="264" w:lineRule="atLeast"/>
      </w:pPr>
      <w:r>
        <w:tab/>
        <w:t>80 000</w:t>
      </w:r>
      <w:r>
        <w:tab/>
        <w:t>piscines (en 9 modèles),</w:t>
      </w:r>
    </w:p>
    <w:p w:rsidR="00000000" w:rsidRDefault="004B64FB">
      <w:pPr>
        <w:tabs>
          <w:tab w:val="right" w:pos="2268"/>
          <w:tab w:val="left" w:pos="2410"/>
        </w:tabs>
        <w:spacing w:after="60" w:line="264" w:lineRule="atLeast"/>
      </w:pPr>
      <w:r>
        <w:tab/>
        <w:t>1 000 000</w:t>
      </w:r>
      <w:r>
        <w:tab/>
        <w:t>bouées (en 16 modèles).</w:t>
      </w:r>
    </w:p>
    <w:p w:rsidR="00000000" w:rsidRDefault="004B64FB">
      <w:r>
        <w:t>Le concept de modèle se réfère à des articles qui ont la même stru</w:t>
      </w:r>
      <w:r>
        <w:t>c</w:t>
      </w:r>
      <w:r>
        <w:t xml:space="preserve">ture, sont produits selon un processus opératoire </w:t>
      </w:r>
      <w:r>
        <w:rPr>
          <w:i/>
        </w:rPr>
        <w:t>identique</w:t>
      </w:r>
      <w:r>
        <w:t>, mais diff</w:t>
      </w:r>
      <w:r>
        <w:t>è</w:t>
      </w:r>
      <w:r>
        <w:t>rent par les coloris ou les dim</w:t>
      </w:r>
      <w:r>
        <w:t>ensions. Concernant le problème de l’équilibre charge/capacité, seules les dimensions dif</w:t>
      </w:r>
      <w:r>
        <w:softHyphen/>
        <w:t>férentes ont une incidence. On admettra dans cette question que pour chaque type d’objets la répartition entre les deux tailles restera la même qu’à la question précé</w:t>
      </w:r>
      <w:r>
        <w:t>dente. Il est prévu de faire tourner l’atelier sur une base de 48 semaines de 5 jours.</w:t>
      </w:r>
    </w:p>
    <w:p w:rsidR="00000000" w:rsidRDefault="004B64FB">
      <w:r>
        <w:t>Quels investissements proposez-vous ?</w:t>
      </w:r>
    </w:p>
    <w:p w:rsidR="00000000" w:rsidRDefault="004B64FB">
      <w:r>
        <w:rPr>
          <w:b/>
        </w:rPr>
        <w:lastRenderedPageBreak/>
        <w:t>3</w:t>
      </w:r>
      <w:r>
        <w:t xml:space="preserve">/ Des machines nouvelles peuvent être achetées, mais </w:t>
      </w:r>
      <w:r>
        <w:rPr>
          <w:i/>
        </w:rPr>
        <w:t xml:space="preserve">a priori </w:t>
      </w:r>
      <w:r>
        <w:t>il est prévu que l’atelier conserve la même structure d’organisation</w:t>
      </w:r>
      <w:r>
        <w:t xml:space="preserve"> (machines regroupées par gammes de puissance en centres opéra</w:t>
      </w:r>
      <w:r>
        <w:softHyphen/>
        <w:t xml:space="preserve">toires homogènes). </w:t>
      </w:r>
    </w:p>
    <w:p w:rsidR="00000000" w:rsidRDefault="004B64FB">
      <w:r>
        <w:t>Une analyse de flux a montré sur un lot d’essai de 1 000 bateaux de taille 1 qu’il fallait 3 semaines au moins pour réaliser le processus complet de soudure.</w:t>
      </w:r>
    </w:p>
    <w:p w:rsidR="004B64FB" w:rsidRDefault="004B64FB">
      <w:r>
        <w:t>Que pensez-vous</w:t>
      </w:r>
      <w:r>
        <w:t xml:space="preserve"> de ce résultat ? Comment devriez-vous vous organ</w:t>
      </w:r>
      <w:r>
        <w:t>i</w:t>
      </w:r>
      <w:r>
        <w:t>ser pour réduire ce délai ? En vous appuyant sur le tableau donnant les gammes de soudure respectives pour les trois produits, proposez une nouvelle organisation possible du parc-machines de cet atelier. Qu</w:t>
      </w:r>
      <w:r>
        <w:t>els avantages en tirerait-on ? À quels inconvénients devrait-on alors faire face ?</w:t>
      </w:r>
    </w:p>
    <w:sectPr w:rsidR="004B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compat/>
  <w:rsids>
    <w:rsidRoot w:val="00A10BEC"/>
    <w:rsid w:val="004B64FB"/>
    <w:rsid w:val="00A1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sz w:val="22"/>
      <w:szCs w:val="24"/>
    </w:rPr>
  </w:style>
  <w:style w:type="paragraph" w:styleId="Titre2">
    <w:name w:val="heading 2"/>
    <w:basedOn w:val="Normal"/>
    <w:next w:val="Normal"/>
    <w:qFormat/>
    <w:pPr>
      <w:keepNext/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L">
    <w:name w:val="PL"/>
    <w:basedOn w:val="Normal"/>
    <w:pPr>
      <w:spacing w:before="0" w:line="220" w:lineRule="atLeast"/>
    </w:pPr>
    <w:rPr>
      <w:szCs w:val="20"/>
    </w:rPr>
  </w:style>
  <w:style w:type="paragraph" w:customStyle="1" w:styleId="Figure">
    <w:name w:val="Figure"/>
    <w:basedOn w:val="Normal"/>
    <w:next w:val="Normal"/>
    <w:pPr>
      <w:widowControl w:val="0"/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spacing w:before="0" w:after="120" w:line="220" w:lineRule="atLeast"/>
      <w:jc w:val="center"/>
    </w:pPr>
    <w:rPr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MIL\Docusha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Docushare.dot</Template>
  <TotalTime>1</TotalTime>
  <Pages>3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Bobato</vt:lpstr>
    </vt:vector>
  </TitlesOfParts>
  <Company>CCIP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Bobato</dc:title>
  <dc:creator>USER</dc:creator>
  <cp:lastModifiedBy>GERARD</cp:lastModifiedBy>
  <cp:revision>2</cp:revision>
  <cp:lastPrinted>1601-01-01T00:00:00Z</cp:lastPrinted>
  <dcterms:created xsi:type="dcterms:W3CDTF">2018-03-13T11:10:00Z</dcterms:created>
  <dcterms:modified xsi:type="dcterms:W3CDTF">2018-03-13T11:10:00Z</dcterms:modified>
</cp:coreProperties>
</file>