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A311" w14:textId="77777777" w:rsidR="00C8623E" w:rsidRPr="009A2706" w:rsidRDefault="00C8623E" w:rsidP="00C8623E">
      <w:pPr>
        <w:pStyle w:val="SuperTitle"/>
        <w:tabs>
          <w:tab w:val="right" w:pos="9072"/>
        </w:tabs>
        <w:spacing w:before="0"/>
        <w:ind w:left="0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7FF66A6F" w14:textId="77777777" w:rsidR="00C8623E" w:rsidRPr="00C42268" w:rsidRDefault="00C8623E" w:rsidP="00C8623E">
      <w:pPr>
        <w:pStyle w:val="SuperTitle"/>
        <w:spacing w:before="0"/>
        <w:ind w:left="0"/>
        <w:rPr>
          <w:lang w:val="fr-FR"/>
        </w:rPr>
      </w:pPr>
    </w:p>
    <w:p w14:paraId="2B5E2B6D" w14:textId="77777777" w:rsidR="00C8623E" w:rsidRDefault="00C8623E" w:rsidP="00C8623E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>Instructions Rôle 1 : Technique Bureau d’études</w:t>
      </w:r>
    </w:p>
    <w:p w14:paraId="56B4ABD2" w14:textId="77777777" w:rsidR="00C8623E" w:rsidRDefault="00C8623E" w:rsidP="00C8623E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70B45D8A" w14:textId="77777777" w:rsidR="005D7D15" w:rsidRDefault="005D7D15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2B1B0486" w14:textId="69A16D94" w:rsidR="00805DDD" w:rsidRPr="00805DDD" w:rsidRDefault="00805DDD" w:rsidP="00805DDD">
      <w:pPr>
        <w:pStyle w:val="ByLine"/>
        <w:spacing w:before="0" w:after="0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>Fiche T0</w:t>
      </w:r>
      <w:r w:rsidR="005E5CE2">
        <w:rPr>
          <w:bCs/>
          <w:noProof/>
          <w:sz w:val="32"/>
          <w:szCs w:val="22"/>
          <w:lang w:val="fr-FR"/>
        </w:rPr>
        <w:t>3</w:t>
      </w:r>
      <w:r w:rsidRPr="00805DDD">
        <w:rPr>
          <w:bCs/>
          <w:noProof/>
          <w:sz w:val="32"/>
          <w:szCs w:val="22"/>
          <w:lang w:val="fr-FR"/>
        </w:rPr>
        <w:t xml:space="preserve"> – Saisie des </w:t>
      </w:r>
      <w:r w:rsidR="005E5CE2">
        <w:rPr>
          <w:bCs/>
          <w:noProof/>
          <w:sz w:val="32"/>
          <w:szCs w:val="22"/>
          <w:lang w:val="fr-FR"/>
        </w:rPr>
        <w:t>nomenclatures</w:t>
      </w:r>
    </w:p>
    <w:p w14:paraId="03B91939" w14:textId="77777777" w:rsidR="00805DDD" w:rsidRDefault="00805DDD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5452FD8A" w14:textId="48AE8201" w:rsidR="00805DDD" w:rsidRPr="00805DDD" w:rsidRDefault="00805DDD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4269C773" w14:textId="50DA12C4" w:rsidR="00805DDD" w:rsidRPr="006F556D" w:rsidRDefault="006F556D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noProof/>
          <w:sz w:val="24"/>
          <w:szCs w:val="18"/>
          <w:lang w:val="fr-FR"/>
        </w:rPr>
      </w:pPr>
      <w:r w:rsidRPr="006F556D">
        <w:rPr>
          <w:b w:val="0"/>
          <w:noProof/>
          <w:sz w:val="24"/>
          <w:szCs w:val="18"/>
          <w:lang w:val="fr-FR"/>
        </w:rPr>
        <w:t xml:space="preserve">Table des </w:t>
      </w:r>
      <w:r w:rsidR="005E5CE2">
        <w:rPr>
          <w:b w:val="0"/>
          <w:noProof/>
          <w:sz w:val="24"/>
          <w:szCs w:val="18"/>
          <w:lang w:val="fr-FR"/>
        </w:rPr>
        <w:t>Articles fabriqués et achetés</w:t>
      </w:r>
    </w:p>
    <w:p w14:paraId="60583B45" w14:textId="77777777" w:rsidR="00BB6D0B" w:rsidRPr="00C42268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t xml:space="preserve">Dans cette session, sont saisies les informations qui décrivent les </w:t>
      </w:r>
      <w:r>
        <w:rPr>
          <w:lang w:val="fr-FR"/>
        </w:rPr>
        <w:t>relations</w:t>
      </w:r>
      <w:r w:rsidRPr="00C42268">
        <w:rPr>
          <w:lang w:val="fr-FR"/>
        </w:rPr>
        <w:t xml:space="preserve"> existant entre les articles (composant, composé, sous-ensemble, ...).</w:t>
      </w:r>
    </w:p>
    <w:p w14:paraId="33E6ABAC" w14:textId="77777777" w:rsidR="00BB6D0B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t>Le logiciel peut gérer plusieurs types de nomenclatures. Chaque nomenclature est repérée par un code. Nous n'utiliserons dans la session 2 qu'un seul type de nomenclature :</w:t>
      </w:r>
      <w:r>
        <w:rPr>
          <w:b/>
          <w:lang w:val="fr-FR"/>
        </w:rPr>
        <w:t xml:space="preserve"> N</w:t>
      </w:r>
      <w:r w:rsidRPr="00C42268">
        <w:rPr>
          <w:b/>
          <w:lang w:val="fr-FR"/>
        </w:rPr>
        <w:t>omenclature de fabrication</w:t>
      </w:r>
      <w:r>
        <w:rPr>
          <w:lang w:val="fr-FR"/>
        </w:rPr>
        <w:t xml:space="preserve">. </w:t>
      </w:r>
    </w:p>
    <w:p w14:paraId="3354A4A6" w14:textId="3690E9A8" w:rsidR="00BB6D0B" w:rsidRPr="00C42268" w:rsidRDefault="00BB6D0B" w:rsidP="00BB6D0B">
      <w:pPr>
        <w:pStyle w:val="Corpsdetexte"/>
        <w:rPr>
          <w:lang w:val="fr-FR"/>
        </w:rPr>
      </w:pPr>
      <w:r>
        <w:rPr>
          <w:lang w:val="fr-FR"/>
        </w:rPr>
        <w:t>Pour concevoir les produits, le bureau d’étude utilise fréquemment une décomposition fonctionnelle des produits à travers la nomenclature Etudes</w:t>
      </w:r>
      <w:r w:rsidR="00C8623E">
        <w:rPr>
          <w:lang w:val="fr-FR"/>
        </w:rPr>
        <w:t xml:space="preserve"> que nous n’utiliserons pas ici</w:t>
      </w:r>
      <w:r>
        <w:rPr>
          <w:lang w:val="fr-FR"/>
        </w:rPr>
        <w:t>.</w:t>
      </w:r>
    </w:p>
    <w:p w14:paraId="0B4AE62E" w14:textId="77777777" w:rsidR="00BB6D0B" w:rsidRPr="003F6B1C" w:rsidRDefault="00BB6D0B" w:rsidP="003F6B1C">
      <w:pPr>
        <w:pStyle w:val="Titre2"/>
        <w:keepLines w:val="0"/>
        <w:pBdr>
          <w:top w:val="single" w:sz="6" w:space="1" w:color="auto"/>
        </w:pBdr>
        <w:spacing w:before="362" w:after="43"/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</w:pPr>
      <w:bookmarkStart w:id="0" w:name="_Toc468785316"/>
      <w:r w:rsidRPr="003F6B1C"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  <w:t>Saisie des liens de nomenclature</w:t>
      </w:r>
      <w:bookmarkEnd w:id="0"/>
    </w:p>
    <w:p w14:paraId="536D365F" w14:textId="77777777" w:rsidR="00BB6D0B" w:rsidRPr="00C42268" w:rsidRDefault="00BB6D0B" w:rsidP="002221A4">
      <w:pPr>
        <w:pStyle w:val="Corpsdetexte"/>
        <w:rPr>
          <w:lang w:val="fr-FR"/>
        </w:rPr>
      </w:pPr>
      <w:r w:rsidRPr="00C42268">
        <w:rPr>
          <w:lang w:val="fr-FR"/>
        </w:rPr>
        <w:t>On va maintenant saisir les liens de nomenclature (définis dans le tableau ci-dessous) dans l</w:t>
      </w:r>
      <w:r>
        <w:rPr>
          <w:lang w:val="fr-FR"/>
        </w:rPr>
        <w:t>a</w:t>
      </w:r>
      <w:r w:rsidRPr="00C42268">
        <w:rPr>
          <w:lang w:val="fr-FR"/>
        </w:rPr>
        <w:t xml:space="preserve">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 w:rsidRPr="001608BB">
        <w:rPr>
          <w:b/>
          <w:lang w:val="fr-FR"/>
        </w:rPr>
        <w:t>Gestion des nomenclatures</w:t>
      </w:r>
      <w:r w:rsidRPr="00C42268">
        <w:rPr>
          <w:lang w:val="fr-FR"/>
        </w:rPr>
        <w:t xml:space="preserve">, </w:t>
      </w:r>
      <w:r>
        <w:rPr>
          <w:lang w:val="fr-FR"/>
        </w:rPr>
        <w:t xml:space="preserve">à laquelle on accède </w:t>
      </w:r>
      <w:r w:rsidRPr="00C42268">
        <w:rPr>
          <w:lang w:val="fr-FR"/>
        </w:rPr>
        <w:t xml:space="preserve">par le menu </w:t>
      </w:r>
      <w:r>
        <w:rPr>
          <w:b/>
          <w:lang w:val="fr-FR"/>
        </w:rPr>
        <w:t>T</w:t>
      </w:r>
      <w:r w:rsidRPr="00C42268">
        <w:rPr>
          <w:b/>
          <w:lang w:val="fr-FR"/>
        </w:rPr>
        <w:t>echnique</w:t>
      </w:r>
      <w:r w:rsidRPr="00C42268">
        <w:rPr>
          <w:lang w:val="fr-FR"/>
        </w:rPr>
        <w:t xml:space="preserve"> et l'option </w:t>
      </w:r>
      <w:r w:rsidRPr="005671D8">
        <w:rPr>
          <w:b/>
          <w:lang w:val="fr-FR"/>
        </w:rPr>
        <w:t>Gestion des n</w:t>
      </w:r>
      <w:r w:rsidRPr="00C42268">
        <w:rPr>
          <w:b/>
          <w:lang w:val="fr-FR"/>
        </w:rPr>
        <w:t>omenclatures</w:t>
      </w:r>
      <w:r w:rsidRPr="00C42268">
        <w:rPr>
          <w:lang w:val="fr-FR"/>
        </w:rPr>
        <w:t>. Pour entrer un lien, il suffit de procéder aux opérations suivantes :</w:t>
      </w:r>
    </w:p>
    <w:p w14:paraId="1FCBB52D" w14:textId="77777777" w:rsidR="00BB6D0B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1)</w:t>
      </w:r>
      <w:r w:rsidRPr="00C42268">
        <w:rPr>
          <w:lang w:val="fr-FR"/>
        </w:rPr>
        <w:tab/>
        <w:t xml:space="preserve">sélectionner l'article </w:t>
      </w:r>
      <w:r>
        <w:rPr>
          <w:lang w:val="fr-FR"/>
        </w:rPr>
        <w:t xml:space="preserve">dont on veut décrire la composition </w:t>
      </w:r>
      <w:r w:rsidRPr="00C42268">
        <w:rPr>
          <w:lang w:val="fr-FR"/>
        </w:rPr>
        <w:t xml:space="preserve"> </w:t>
      </w:r>
      <w:r>
        <w:rPr>
          <w:lang w:val="fr-FR"/>
        </w:rPr>
        <w:t xml:space="preserve">dans la liste de gauche de la page </w:t>
      </w:r>
      <w:r w:rsidRPr="00CD0F5E">
        <w:rPr>
          <w:b/>
          <w:lang w:val="fr-FR"/>
        </w:rPr>
        <w:t>Nomenclature</w:t>
      </w:r>
      <w:r>
        <w:rPr>
          <w:lang w:val="fr-FR"/>
        </w:rPr>
        <w:t>.</w:t>
      </w:r>
    </w:p>
    <w:p w14:paraId="64F250F1" w14:textId="77777777" w:rsidR="00BB6D0B" w:rsidRPr="00C42268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2)</w:t>
      </w:r>
      <w:r w:rsidRPr="00C42268">
        <w:rPr>
          <w:lang w:val="fr-FR"/>
        </w:rPr>
        <w:tab/>
        <w:t xml:space="preserve">cliquer sur le bouton </w:t>
      </w:r>
      <w:r w:rsidRPr="00C42268">
        <w:rPr>
          <w:b/>
          <w:smallCaps/>
          <w:lang w:val="fr-FR"/>
        </w:rPr>
        <w:t>Mise à jour</w:t>
      </w:r>
      <w:r w:rsidRPr="00C42268">
        <w:rPr>
          <w:lang w:val="fr-FR"/>
        </w:rPr>
        <w:t>,</w:t>
      </w:r>
    </w:p>
    <w:p w14:paraId="3F182656" w14:textId="77777777" w:rsidR="00BB6D0B" w:rsidRPr="00C42268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3)</w:t>
      </w:r>
      <w:r w:rsidRPr="00C42268">
        <w:rPr>
          <w:lang w:val="fr-FR"/>
        </w:rPr>
        <w:tab/>
      </w:r>
      <w:r>
        <w:rPr>
          <w:lang w:val="fr-FR"/>
        </w:rPr>
        <w:t xml:space="preserve">cliquer sur le bouton </w:t>
      </w:r>
      <w:r w:rsidRPr="005671D8">
        <w:rPr>
          <w:b/>
          <w:sz w:val="20"/>
          <w:lang w:val="fr-FR"/>
        </w:rPr>
        <w:t>NOUVEAU</w:t>
      </w:r>
      <w:r>
        <w:rPr>
          <w:b/>
          <w:sz w:val="20"/>
          <w:lang w:val="fr-FR"/>
        </w:rPr>
        <w:t>,</w:t>
      </w:r>
    </w:p>
    <w:p w14:paraId="1C838397" w14:textId="77777777" w:rsidR="00BB6D0B" w:rsidRPr="00C42268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5)</w:t>
      </w:r>
      <w:r w:rsidRPr="00C42268">
        <w:rPr>
          <w:lang w:val="fr-FR"/>
        </w:rPr>
        <w:tab/>
        <w:t xml:space="preserve">introduire le code du composant </w:t>
      </w:r>
      <w:r>
        <w:rPr>
          <w:lang w:val="fr-FR"/>
        </w:rPr>
        <w:t xml:space="preserve">ou le sélectionner dans la liste déroulante </w:t>
      </w:r>
      <w:r w:rsidRPr="00C42268">
        <w:rPr>
          <w:lang w:val="fr-FR"/>
        </w:rPr>
        <w:t>(son libellé apparaît),</w:t>
      </w:r>
    </w:p>
    <w:p w14:paraId="7C5C033B" w14:textId="77777777" w:rsidR="00BB6D0B" w:rsidRPr="00C42268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6)</w:t>
      </w:r>
      <w:r w:rsidRPr="00C42268">
        <w:rPr>
          <w:lang w:val="fr-FR"/>
        </w:rPr>
        <w:tab/>
        <w:t xml:space="preserve">entrer le coefficient </w:t>
      </w:r>
      <w:r>
        <w:rPr>
          <w:lang w:val="fr-FR"/>
        </w:rPr>
        <w:t xml:space="preserve">et le rebut proportionnel </w:t>
      </w:r>
      <w:r w:rsidRPr="00C42268">
        <w:rPr>
          <w:lang w:val="fr-FR"/>
        </w:rPr>
        <w:t>(laisser les autres informations affichées par défaut),</w:t>
      </w:r>
    </w:p>
    <w:p w14:paraId="70F4E44B" w14:textId="77777777" w:rsidR="00BB6D0B" w:rsidRPr="00C42268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7)</w:t>
      </w:r>
      <w:r w:rsidRPr="00C42268">
        <w:rPr>
          <w:lang w:val="fr-FR"/>
        </w:rPr>
        <w:tab/>
        <w:t xml:space="preserve">cliquer sur le bouton </w:t>
      </w:r>
      <w:r w:rsidRPr="00C42268">
        <w:rPr>
          <w:b/>
          <w:lang w:val="fr-FR"/>
        </w:rPr>
        <w:t>OK</w:t>
      </w:r>
      <w:r w:rsidRPr="00C42268">
        <w:rPr>
          <w:lang w:val="fr-FR"/>
        </w:rPr>
        <w:t>,</w:t>
      </w:r>
    </w:p>
    <w:p w14:paraId="7DE706CE" w14:textId="77777777" w:rsidR="00BB6D0B" w:rsidRPr="00C42268" w:rsidRDefault="00BB6D0B" w:rsidP="00BB6D0B">
      <w:pPr>
        <w:pStyle w:val="Liste"/>
        <w:tabs>
          <w:tab w:val="clear" w:pos="3960"/>
          <w:tab w:val="left" w:pos="3261"/>
        </w:tabs>
        <w:ind w:left="3261"/>
        <w:rPr>
          <w:lang w:val="fr-FR"/>
        </w:rPr>
      </w:pPr>
      <w:r w:rsidRPr="00C42268">
        <w:rPr>
          <w:lang w:val="fr-FR"/>
        </w:rPr>
        <w:t>8)</w:t>
      </w:r>
      <w:r w:rsidRPr="00C42268">
        <w:rPr>
          <w:lang w:val="fr-FR"/>
        </w:rPr>
        <w:tab/>
        <w:t xml:space="preserve">lorsque tous les liens d'un article sont entrés, cliquer sur le bouton </w:t>
      </w:r>
      <w:r w:rsidRPr="00C42268">
        <w:rPr>
          <w:b/>
          <w:smallCaps/>
          <w:lang w:val="fr-FR"/>
        </w:rPr>
        <w:t>Retour</w:t>
      </w:r>
      <w:r w:rsidRPr="00C42268">
        <w:rPr>
          <w:lang w:val="fr-FR"/>
        </w:rPr>
        <w:t>, et retourner à l'étape 1) pour l'article suivant.</w:t>
      </w:r>
    </w:p>
    <w:p w14:paraId="22FD0CE4" w14:textId="77777777" w:rsidR="00BB6D0B" w:rsidRPr="00C42268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t>On note de plus que les dates de validité de ces l</w:t>
      </w:r>
      <w:r>
        <w:rPr>
          <w:lang w:val="fr-FR"/>
        </w:rPr>
        <w:t xml:space="preserve">iens de nomenclatures sont de </w:t>
      </w:r>
      <w:r w:rsidRPr="003F6B1C">
        <w:rPr>
          <w:color w:val="FF0000"/>
          <w:lang w:val="fr-FR"/>
        </w:rPr>
        <w:t xml:space="preserve">03/01/2022 </w:t>
      </w:r>
      <w:r w:rsidRPr="00C42268">
        <w:rPr>
          <w:lang w:val="fr-FR"/>
        </w:rPr>
        <w:t>comme dates de début et 31/12/9999 comme dates de fin. Ces dates sont proposées automatiquement lors de la saisie.</w:t>
      </w:r>
    </w:p>
    <w:p w14:paraId="60E44AA3" w14:textId="77777777" w:rsidR="00BB6D0B" w:rsidRDefault="00BB6D0B" w:rsidP="00BB6D0B">
      <w:pPr>
        <w:pStyle w:val="Corpsdetexte"/>
        <w:rPr>
          <w:lang w:val="fr-FR"/>
        </w:rPr>
      </w:pPr>
      <w:r>
        <w:rPr>
          <w:lang w:val="fr-FR"/>
        </w:rPr>
        <w:t xml:space="preserve">Pour éviter de ralentir l’enregistrement des liens de nomenclatures, décocher la case </w:t>
      </w:r>
      <w:r>
        <w:rPr>
          <w:b/>
          <w:lang w:val="fr-FR"/>
        </w:rPr>
        <w:t>M</w:t>
      </w:r>
      <w:r w:rsidRPr="00290EC8">
        <w:rPr>
          <w:b/>
          <w:lang w:val="fr-FR"/>
        </w:rPr>
        <w:t>ettre à jour les codes de plus bas niveau</w:t>
      </w:r>
      <w:r>
        <w:rPr>
          <w:lang w:val="fr-FR"/>
        </w:rPr>
        <w:t>.</w:t>
      </w:r>
    </w:p>
    <w:p w14:paraId="311037D1" w14:textId="77777777" w:rsidR="00BB6D0B" w:rsidRPr="00C42268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lastRenderedPageBreak/>
        <w:t xml:space="preserve">Dans le cas où deux articles présentent des caractéristiques très similaires </w:t>
      </w:r>
      <w:r>
        <w:rPr>
          <w:lang w:val="fr-FR"/>
        </w:rPr>
        <w:t>la</w:t>
      </w:r>
      <w:r w:rsidRPr="00C42268">
        <w:rPr>
          <w:lang w:val="fr-FR"/>
        </w:rPr>
        <w:t xml:space="preserve"> fonction </w:t>
      </w:r>
      <w:r>
        <w:rPr>
          <w:lang w:val="fr-FR"/>
        </w:rPr>
        <w:t xml:space="preserve">de duplication d’une nomenclature </w:t>
      </w:r>
      <w:r w:rsidRPr="00C42268">
        <w:rPr>
          <w:lang w:val="fr-FR"/>
        </w:rPr>
        <w:t xml:space="preserve">permet d'éviter d'avoir à saisir deux fois l'ensemble des </w:t>
      </w:r>
      <w:r>
        <w:rPr>
          <w:lang w:val="fr-FR"/>
        </w:rPr>
        <w:t>liens</w:t>
      </w:r>
      <w:r w:rsidRPr="00C42268">
        <w:rPr>
          <w:lang w:val="fr-FR"/>
        </w:rPr>
        <w:t xml:space="preserve">. Une fois la nomenclature d'un article saisie, il suffit </w:t>
      </w:r>
      <w:r>
        <w:rPr>
          <w:lang w:val="fr-FR"/>
        </w:rPr>
        <w:t xml:space="preserve">de </w:t>
      </w:r>
      <w:r w:rsidRPr="00C42268">
        <w:rPr>
          <w:lang w:val="fr-FR"/>
        </w:rPr>
        <w:t xml:space="preserve">cliquer sur </w:t>
      </w:r>
      <w:r w:rsidRPr="00C42268">
        <w:rPr>
          <w:b/>
          <w:smallCaps/>
          <w:lang w:val="fr-FR"/>
        </w:rPr>
        <w:t>Dupliquer</w:t>
      </w:r>
      <w:r w:rsidRPr="00C42268">
        <w:rPr>
          <w:lang w:val="fr-FR"/>
        </w:rPr>
        <w:t xml:space="preserve">, de saisir le nom du nouvel article dont on veut créer la nomenclature, </w:t>
      </w:r>
      <w:r>
        <w:rPr>
          <w:lang w:val="fr-FR"/>
        </w:rPr>
        <w:t xml:space="preserve">puis </w:t>
      </w:r>
      <w:r w:rsidRPr="00C42268">
        <w:rPr>
          <w:lang w:val="fr-FR"/>
        </w:rPr>
        <w:t xml:space="preserve">de cliquer sur </w:t>
      </w:r>
      <w:r>
        <w:rPr>
          <w:b/>
          <w:smallCaps/>
          <w:lang w:val="fr-FR"/>
        </w:rPr>
        <w:t>Ok</w:t>
      </w:r>
      <w:r w:rsidRPr="00C42268">
        <w:rPr>
          <w:lang w:val="fr-FR"/>
        </w:rPr>
        <w:t xml:space="preserve"> afin de valider la copie des liens de nomenclature pour le nouvel article. </w:t>
      </w:r>
    </w:p>
    <w:p w14:paraId="563A1648" w14:textId="77777777" w:rsidR="00BB6D0B" w:rsidRPr="00C42268" w:rsidRDefault="00BB6D0B" w:rsidP="00BB6D0B">
      <w:pPr>
        <w:pStyle w:val="Corpsdetexte"/>
        <w:spacing w:after="120"/>
        <w:rPr>
          <w:lang w:val="fr-FR"/>
        </w:rPr>
      </w:pPr>
      <w:r w:rsidRPr="00C42268">
        <w:rPr>
          <w:rFonts w:ascii="Arial" w:hAnsi="Arial"/>
          <w:b/>
          <w:lang w:val="fr-FR"/>
        </w:rPr>
        <w:t>Liste des liens de nomenclature de fabrication</w:t>
      </w:r>
    </w:p>
    <w:tbl>
      <w:tblPr>
        <w:tblW w:w="6460" w:type="dxa"/>
        <w:tblInd w:w="283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14"/>
        <w:gridCol w:w="1046"/>
        <w:gridCol w:w="1418"/>
        <w:gridCol w:w="1276"/>
        <w:gridCol w:w="1506"/>
      </w:tblGrid>
      <w:tr w:rsidR="00BB6D0B" w:rsidRPr="00D42A9A" w14:paraId="64FEEF67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D759B5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Article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3D4B0D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Lien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19030D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Composant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3ADBB8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Coefficient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B00490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Rebut proportionnel (en %)</w:t>
            </w:r>
          </w:p>
        </w:tc>
      </w:tr>
      <w:tr w:rsidR="00BB6D0B" w:rsidRPr="00D42A9A" w14:paraId="233488C1" w14:textId="77777777" w:rsidTr="003F6B1C">
        <w:trPr>
          <w:cantSplit/>
          <w:trHeight w:val="259"/>
        </w:trPr>
        <w:tc>
          <w:tcPr>
            <w:tcW w:w="12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333C6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C000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10A2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0FE9C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8C00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0.07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B979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711CFF97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F0D5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C001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0539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72D70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F792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0.07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8096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469D1E5B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8641E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C004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9A690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BBD09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D114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BEF0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10EC33E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261D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FAN01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90A50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836F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V005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802774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A5CF4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35E9DE27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50E8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BCF5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E75E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V004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87E005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4DF4F1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60D15D4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FC4C0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FD2B1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6AF1F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633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A5B4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EE4BEE0" w14:textId="77777777" w:rsidTr="003F6B1C">
        <w:trPr>
          <w:cantSplit/>
          <w:trHeight w:val="259"/>
        </w:trPr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27B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CA000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EFE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2E0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C000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CB19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5A8A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1E10AE37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82E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7E3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8A2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FAN01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EC36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BB8E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96E79EC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F82DF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0899E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05E53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7B5F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D958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4AADC7C4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FB5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CA001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4A0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513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AFD2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D882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27E4985F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847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AAE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D3D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FAN01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C490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A950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5203596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320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A154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FE28D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2A6C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55A9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F87883B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64DA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CC200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E33A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EE5B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EDB12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71C5A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5177033C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099C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9F21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9FAF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AEF97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646CD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7A6C5614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E9B0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FD6C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F512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C8F67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6306B" w14:textId="77777777" w:rsidR="00BB6D0B" w:rsidRPr="00D42A9A" w:rsidRDefault="00BB6D0B" w:rsidP="00886E0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4D6F9A57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2F3BF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1C78E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58022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754C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427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46FD58A2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80DFC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Article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415F63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Lien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994624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Composant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8BB2D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Coefficient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65787B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Rebut proportionnel (en %)</w:t>
            </w:r>
          </w:p>
        </w:tc>
      </w:tr>
      <w:tr w:rsidR="00BB6D0B" w:rsidRPr="00D42A9A" w14:paraId="4F1DC3B1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15B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CC201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152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113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855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BEE9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31F5BC74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422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BEB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3A1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D7D1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57A6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592D15EE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B6B5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626B4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B99DB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CE44E0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D92F0D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118AE70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F386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13CBA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9297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01C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A44A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5C97C090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A42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CD100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3F1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23C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22C9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6654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8AA932B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2C8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22B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7AE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H000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1B5E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C2B6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5E71769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DCB6A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8234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4EF38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7E2330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CB6B7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569278EA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A0D2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57949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EC55C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35C9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376D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488A4A4B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980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CD101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0BE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8D4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9FB3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7865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8A0996D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F50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59A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070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H001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45E1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A15B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48A96E66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2AB30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23EC5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F822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FA1E2B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84908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771095AC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FD135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DC246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6E8DC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1711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837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6B484B2F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CEF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875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60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P004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C490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9F5D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4B8839E0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385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565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6DC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ES000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946A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323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55216540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2134A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EE6C5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BF5F3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45C0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B686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5D36551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31A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CR300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832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555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9C7F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9350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52D0C0F9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BB3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820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236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0D5E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9E4F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E27CF8A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87FEF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D939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3C85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3CAA70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775C9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2381746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51D44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4A487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CBDE4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BB8E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0CDE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17DF28E9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91A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CR301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6B0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9E9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CH005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0CF0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3A2F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4D6EBAA9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23F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F42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9B9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D0A7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7CD6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0340D519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BB69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9A15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F6D8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AAD09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1192F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63EF2049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3BC3D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441C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EC751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BOITEPF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5C31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AE06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4EDE1558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870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ES000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0B8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73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ROUE50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52D0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2.00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E5E2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B6D0B" w:rsidRPr="00D42A9A" w14:paraId="2B8BAF2A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E5A66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2D008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7914D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BAR103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CDA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0.25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C67E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</w:t>
            </w:r>
          </w:p>
        </w:tc>
      </w:tr>
      <w:tr w:rsidR="00BB6D0B" w:rsidRPr="00D42A9A" w14:paraId="408A728D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CB9D5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H000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6036E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27E28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83B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0.15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B536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1B07E77C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595B8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H001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19D8E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A32E5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4EB5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0.15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428A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6A5D0E2B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4833A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M000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32D1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15C2D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18DA1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0.045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30ED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3520FFEA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F5841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M001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8C1C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8F4A0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710A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0.045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6E66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18FF90CF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068455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P004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0F8B6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64D55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TOLE400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AD6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0.0056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09FC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10</w:t>
            </w:r>
          </w:p>
        </w:tc>
      </w:tr>
      <w:tr w:rsidR="00BB6D0B" w:rsidRPr="00D42A9A" w14:paraId="62FF57B2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3090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P005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5F05E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71272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81FF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0.005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3C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6A15AC08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431E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R000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8BA73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AAE4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D277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0.08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01796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51FE30C0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75A73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R001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9DC46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854757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EA1D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0.08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32D0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11DB183C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111C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T000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3341C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6F444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A976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03B2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6121A086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3D80B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T001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802B9F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165A9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ABS503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F096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0.12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9BD5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5</w:t>
            </w:r>
          </w:p>
        </w:tc>
      </w:tr>
      <w:tr w:rsidR="00BB6D0B" w:rsidRPr="00D42A9A" w14:paraId="132C68A6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18206D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V004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0D714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8002A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RHO300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B4CA8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0.04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8BD8C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2.5</w:t>
            </w:r>
          </w:p>
        </w:tc>
      </w:tr>
      <w:tr w:rsidR="00BB6D0B" w:rsidRPr="00D42A9A" w14:paraId="77CB3D36" w14:textId="77777777" w:rsidTr="003F6B1C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B7520B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V005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32A23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047F1E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RHO300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8C39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0.02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36E2" w14:textId="77777777" w:rsidR="00BB6D0B" w:rsidRPr="00D42A9A" w:rsidRDefault="00BB6D0B" w:rsidP="00886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2.5</w:t>
            </w:r>
          </w:p>
        </w:tc>
      </w:tr>
    </w:tbl>
    <w:p w14:paraId="4AF83AE6" w14:textId="77777777" w:rsidR="00BB6D0B" w:rsidRDefault="00BB6D0B" w:rsidP="00BB6D0B">
      <w:pPr>
        <w:pStyle w:val="Corpsdetexte"/>
        <w:rPr>
          <w:lang w:val="fr-FR"/>
        </w:rPr>
      </w:pPr>
      <w:r w:rsidRPr="00BB6D0B">
        <w:rPr>
          <w:lang w:val="fr-FR"/>
        </w:rPr>
        <w:t xml:space="preserve">Appeler la procédure de </w:t>
      </w:r>
      <w:r w:rsidRPr="003F6B1C">
        <w:rPr>
          <w:b/>
          <w:bCs/>
          <w:lang w:val="fr-FR"/>
        </w:rPr>
        <w:t>calcul des codes de plus bas niveau</w:t>
      </w:r>
      <w:r w:rsidRPr="00BB6D0B">
        <w:rPr>
          <w:lang w:val="fr-FR"/>
        </w:rPr>
        <w:t xml:space="preserve"> (menu </w:t>
      </w:r>
      <w:r w:rsidRPr="003F6B1C">
        <w:rPr>
          <w:b/>
          <w:bCs/>
          <w:lang w:val="fr-FR"/>
        </w:rPr>
        <w:t>Technique</w:t>
      </w:r>
      <w:r w:rsidRPr="00BB6D0B">
        <w:rPr>
          <w:lang w:val="fr-FR"/>
        </w:rPr>
        <w:t xml:space="preserve">, option </w:t>
      </w:r>
      <w:r w:rsidRPr="003F6B1C">
        <w:rPr>
          <w:b/>
          <w:bCs/>
          <w:i/>
          <w:iCs/>
          <w:lang w:val="fr-FR"/>
        </w:rPr>
        <w:t>Calcul des codes de plus bas niveau</w:t>
      </w:r>
      <w:r w:rsidRPr="00BB6D0B">
        <w:rPr>
          <w:lang w:val="fr-FR"/>
        </w:rPr>
        <w:t xml:space="preserve">). Vérifier les niveaux de tous les articles sur la </w:t>
      </w:r>
      <w:r w:rsidRPr="003F6B1C">
        <w:rPr>
          <w:i/>
          <w:iCs/>
          <w:lang w:val="fr-FR"/>
        </w:rPr>
        <w:t>Liste des articles</w:t>
      </w:r>
      <w:r w:rsidRPr="00BB6D0B">
        <w:rPr>
          <w:lang w:val="fr-FR"/>
        </w:rPr>
        <w:t xml:space="preserve"> (menu </w:t>
      </w:r>
      <w:r w:rsidRPr="003F6B1C">
        <w:rPr>
          <w:b/>
          <w:bCs/>
          <w:lang w:val="fr-FR"/>
        </w:rPr>
        <w:t>Technique</w:t>
      </w:r>
      <w:r w:rsidRPr="00BB6D0B">
        <w:rPr>
          <w:lang w:val="fr-FR"/>
        </w:rPr>
        <w:t>).</w:t>
      </w:r>
    </w:p>
    <w:p w14:paraId="3AE80CE0" w14:textId="1145B101" w:rsidR="003F6B1C" w:rsidRPr="003F6B1C" w:rsidRDefault="003F6B1C" w:rsidP="00BB6D0B">
      <w:pPr>
        <w:pStyle w:val="Corpsdetexte"/>
        <w:rPr>
          <w:rFonts w:ascii="Arial" w:hAnsi="Arial" w:cs="Arial"/>
          <w:sz w:val="24"/>
          <w:szCs w:val="22"/>
          <w:lang w:val="fr-FR"/>
        </w:rPr>
      </w:pPr>
      <w:r w:rsidRPr="003F6B1C">
        <w:rPr>
          <w:rFonts w:ascii="Arial" w:hAnsi="Arial" w:cs="Arial"/>
          <w:b/>
          <w:sz w:val="24"/>
          <w:szCs w:val="22"/>
          <w:lang w:val="fr-FR"/>
        </w:rPr>
        <w:t>Conditionnements de transport</w:t>
      </w:r>
    </w:p>
    <w:p w14:paraId="3027F7AC" w14:textId="77777777" w:rsidR="003F6B1C" w:rsidRPr="00C42268" w:rsidRDefault="003F6B1C" w:rsidP="003F6B1C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On va maintenant intégrer les </w:t>
      </w:r>
      <w:r w:rsidRPr="00E80034">
        <w:rPr>
          <w:b/>
          <w:lang w:val="fr-FR"/>
        </w:rPr>
        <w:t>conditionnements de transport</w:t>
      </w:r>
      <w:r w:rsidRPr="00C42268">
        <w:rPr>
          <w:lang w:val="fr-FR"/>
        </w:rPr>
        <w:t xml:space="preserve"> aux nomenclatures. Saisir les liens de nomenclature (défi</w:t>
      </w:r>
      <w:r>
        <w:rPr>
          <w:lang w:val="fr-FR"/>
        </w:rPr>
        <w:t>nis dans le tableau ci-dessous).</w:t>
      </w:r>
    </w:p>
    <w:p w14:paraId="08553F9B" w14:textId="77777777" w:rsidR="003F6B1C" w:rsidRPr="00C42268" w:rsidRDefault="003F6B1C" w:rsidP="003F6B1C">
      <w:pPr>
        <w:pStyle w:val="Corpsdetexte"/>
        <w:spacing w:after="120"/>
        <w:rPr>
          <w:lang w:val="fr-FR"/>
        </w:rPr>
      </w:pPr>
      <w:r w:rsidRPr="00C42268">
        <w:rPr>
          <w:rFonts w:ascii="Arial" w:hAnsi="Arial"/>
          <w:b/>
          <w:lang w:val="fr-FR"/>
        </w:rPr>
        <w:t>Liste des liens de nomenclature de fabrication</w:t>
      </w:r>
    </w:p>
    <w:tbl>
      <w:tblPr>
        <w:tblW w:w="0" w:type="auto"/>
        <w:tblInd w:w="283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14"/>
        <w:gridCol w:w="1276"/>
        <w:gridCol w:w="1418"/>
        <w:gridCol w:w="1276"/>
        <w:gridCol w:w="1276"/>
      </w:tblGrid>
      <w:tr w:rsidR="003F6B1C" w:rsidRPr="00C42268" w14:paraId="087DAA35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975C0AD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Article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56D7C7F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Lien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44DF133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Composant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D2AFBEF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Coefficient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50FC176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Quantité</w:t>
            </w:r>
          </w:p>
        </w:tc>
      </w:tr>
      <w:tr w:rsidR="003F6B1C" w:rsidRPr="00C42268" w14:paraId="42A15E93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5AAA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CC200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1A6D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AC4E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CARTON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6E49C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CF7F6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  <w:t>12</w:t>
            </w:r>
          </w:p>
        </w:tc>
      </w:tr>
      <w:tr w:rsidR="003F6B1C" w:rsidRPr="00C42268" w14:paraId="74AEADF2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0ECF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CC201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FA22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2C984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CARTON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9744B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F2297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  <w:t>12</w:t>
            </w:r>
          </w:p>
        </w:tc>
      </w:tr>
      <w:tr w:rsidR="003F6B1C" w:rsidRPr="00C42268" w14:paraId="33D893C5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0938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CD100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ABF1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2D77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CARTON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C243F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73BA9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  <w:t>12</w:t>
            </w:r>
          </w:p>
        </w:tc>
      </w:tr>
      <w:tr w:rsidR="003F6B1C" w:rsidRPr="00C42268" w14:paraId="61EE38B9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AA16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CD101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C658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C1DC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CARTON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8EEFC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5201F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  <w:t>12</w:t>
            </w:r>
          </w:p>
        </w:tc>
      </w:tr>
      <w:tr w:rsidR="003F6B1C" w:rsidRPr="00C42268" w14:paraId="0393E69D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30DE4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CR300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38A0E6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14C75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CARTON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5EE120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EF3A14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  <w:t>12</w:t>
            </w:r>
          </w:p>
        </w:tc>
      </w:tr>
      <w:tr w:rsidR="003F6B1C" w:rsidRPr="00C42268" w14:paraId="0474E4C5" w14:textId="77777777" w:rsidTr="00886E09">
        <w:trPr>
          <w:cantSplit/>
          <w:trHeight w:val="259"/>
        </w:trPr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02C43D" w14:textId="77777777" w:rsidR="003F6B1C" w:rsidRPr="00C42268" w:rsidRDefault="003F6B1C" w:rsidP="00886E09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CR301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2F42A1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1C1EF6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CARTON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A299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6C29C" w14:textId="77777777" w:rsidR="003F6B1C" w:rsidRPr="00C42268" w:rsidRDefault="003F6B1C" w:rsidP="00886E09">
            <w:pPr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  <w:t>12</w:t>
            </w:r>
          </w:p>
        </w:tc>
      </w:tr>
    </w:tbl>
    <w:p w14:paraId="7B87D1A7" w14:textId="77777777" w:rsidR="00BB6D0B" w:rsidRDefault="00BB6D0B" w:rsidP="00BB6D0B">
      <w:pPr>
        <w:pStyle w:val="Corpsdetexte"/>
        <w:rPr>
          <w:lang w:val="fr-FR"/>
        </w:rPr>
      </w:pPr>
    </w:p>
    <w:sectPr w:rsidR="00BB6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3193" w14:textId="77777777" w:rsidR="00C42851" w:rsidRDefault="00C42851">
      <w:r>
        <w:separator/>
      </w:r>
    </w:p>
  </w:endnote>
  <w:endnote w:type="continuationSeparator" w:id="0">
    <w:p w14:paraId="2EBDED9D" w14:textId="77777777" w:rsidR="00C42851" w:rsidRDefault="00C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A017" w14:textId="77777777" w:rsidR="00C42851" w:rsidRDefault="00C42851">
      <w:r>
        <w:separator/>
      </w:r>
    </w:p>
  </w:footnote>
  <w:footnote w:type="continuationSeparator" w:id="0">
    <w:p w14:paraId="27DD5D48" w14:textId="77777777" w:rsidR="00C42851" w:rsidRDefault="00C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15B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2221A4"/>
    <w:rsid w:val="0037474E"/>
    <w:rsid w:val="003F6B1C"/>
    <w:rsid w:val="005D7D15"/>
    <w:rsid w:val="005E5CE2"/>
    <w:rsid w:val="006F556D"/>
    <w:rsid w:val="006F7F7A"/>
    <w:rsid w:val="00797369"/>
    <w:rsid w:val="007A6120"/>
    <w:rsid w:val="0080459D"/>
    <w:rsid w:val="00805DDD"/>
    <w:rsid w:val="0080647D"/>
    <w:rsid w:val="00BB6D0B"/>
    <w:rsid w:val="00C42851"/>
    <w:rsid w:val="00C65D13"/>
    <w:rsid w:val="00C8623E"/>
    <w:rsid w:val="00CA597E"/>
    <w:rsid w:val="00E47224"/>
    <w:rsid w:val="00E812BA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B6D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B6D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B6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BB6D0B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B6D0B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styleId="lev">
    <w:name w:val="Strong"/>
    <w:basedOn w:val="Policepardfaut"/>
    <w:uiPriority w:val="22"/>
    <w:qFormat/>
    <w:rsid w:val="00BB6D0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B6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Liste">
    <w:name w:val="List"/>
    <w:basedOn w:val="Corpsdetexte"/>
    <w:rsid w:val="00BB6D0B"/>
    <w:pPr>
      <w:tabs>
        <w:tab w:val="left" w:pos="3960"/>
      </w:tabs>
      <w:ind w:left="3960" w:hanging="360"/>
    </w:pPr>
  </w:style>
  <w:style w:type="paragraph" w:styleId="Pieddepage">
    <w:name w:val="footer"/>
    <w:basedOn w:val="Normal"/>
    <w:link w:val="PieddepageCar"/>
    <w:rsid w:val="00BB6D0B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PieddepageCar">
    <w:name w:val="Pied de page Car"/>
    <w:basedOn w:val="Policepardfaut"/>
    <w:link w:val="Pieddepag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rsid w:val="00BB6D0B"/>
    <w:pP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En-tteCar">
    <w:name w:val="En-tête Car"/>
    <w:basedOn w:val="Policepardfaut"/>
    <w:link w:val="En-tt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BB6D0B"/>
    <w:pPr>
      <w:spacing w:before="122"/>
      <w:ind w:left="0" w:right="432"/>
    </w:pPr>
    <w:rPr>
      <w:i/>
    </w:rPr>
  </w:style>
  <w:style w:type="character" w:styleId="Numrodepage">
    <w:name w:val="page number"/>
    <w:basedOn w:val="Policepardfaut"/>
    <w:rsid w:val="00BB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5</cp:revision>
  <dcterms:created xsi:type="dcterms:W3CDTF">2024-01-06T10:29:00Z</dcterms:created>
  <dcterms:modified xsi:type="dcterms:W3CDTF">2024-01-15T11:20:00Z</dcterms:modified>
</cp:coreProperties>
</file>