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6BF" w:rsidRDefault="00AB6B2D">
      <w:pPr>
        <w:rPr>
          <w:b/>
          <w:u w:val="single"/>
        </w:rPr>
      </w:pPr>
      <w:r w:rsidRPr="00AB6B2D">
        <w:rPr>
          <w:b/>
          <w:u w:val="single"/>
        </w:rPr>
        <w:t>REPONSE AUX QUESTION</w:t>
      </w:r>
    </w:p>
    <w:p w:rsidR="00D331B7" w:rsidRDefault="00AB6B2D" w:rsidP="00AB6B2D">
      <w:pPr>
        <w:rPr>
          <w:u w:val="single"/>
        </w:rPr>
      </w:pPr>
      <w:r w:rsidRPr="00391DB2">
        <w:rPr>
          <w:u w:val="single"/>
        </w:rPr>
        <w:t>SESSION2 :</w:t>
      </w:r>
    </w:p>
    <w:p w:rsidR="00AB6B2D" w:rsidRDefault="00AB6B2D" w:rsidP="00D331B7">
      <w:pPr>
        <w:pStyle w:val="Paragraphedeliste"/>
        <w:numPr>
          <w:ilvl w:val="0"/>
          <w:numId w:val="5"/>
        </w:numPr>
      </w:pPr>
      <w:r>
        <w:t>PLET 100 est fabriqué et BOIS 010 est acheté. En cliquant sur arborescence on remarque la même chose c’est ta dire que PLET100 et fabriqué et BOIS 010 est acheté. En cliquant sur décalage idem. Le délai de réaction est de 15.</w:t>
      </w:r>
    </w:p>
    <w:p w:rsidR="00AB6B2D" w:rsidRDefault="00AB6B2D" w:rsidP="00D331B7">
      <w:pPr>
        <w:pStyle w:val="Paragraphedeliste"/>
        <w:numPr>
          <w:ilvl w:val="0"/>
          <w:numId w:val="5"/>
        </w:numPr>
      </w:pPr>
      <w:r>
        <w:t xml:space="preserve">Pour ARM100 on remarque que bois </w:t>
      </w:r>
      <w:r w:rsidR="00A06623">
        <w:t>002, LIN40, BOIS010 et TAQ000 sont achetés et qu’on na fabriqués les articles suivants à savoir : ARM100, PANA100, PROFIL, PANLAT, ETA100 et PLET100.</w:t>
      </w:r>
    </w:p>
    <w:p w:rsidR="00A06623" w:rsidRDefault="00A06623" w:rsidP="00D331B7">
      <w:pPr>
        <w:pStyle w:val="Paragraphedeliste"/>
        <w:numPr>
          <w:ilvl w:val="0"/>
          <w:numId w:val="5"/>
        </w:numPr>
      </w:pPr>
      <w:r>
        <w:t xml:space="preserve">Pour l’arborescence c’est pareil </w:t>
      </w:r>
      <w:r w:rsidR="002B6886">
        <w:t>c’est pareil aussi ce les même articles qui sont achetés et c’est les mêmes qui sont fabriqués. Le délai de réaction est de 25 pour ces activités.</w:t>
      </w:r>
    </w:p>
    <w:p w:rsidR="00D331B7" w:rsidRDefault="002B6886" w:rsidP="00D331B7">
      <w:r w:rsidRPr="00D331B7">
        <w:rPr>
          <w:u w:val="single"/>
        </w:rPr>
        <w:t>SESSION3 </w:t>
      </w:r>
      <w:r>
        <w:t xml:space="preserve">: </w:t>
      </w:r>
    </w:p>
    <w:p w:rsidR="002B6886" w:rsidRDefault="002B6886" w:rsidP="00D331B7">
      <w:pPr>
        <w:pStyle w:val="Paragraphedeliste"/>
        <w:numPr>
          <w:ilvl w:val="0"/>
          <w:numId w:val="4"/>
        </w:numPr>
      </w:pPr>
      <w:r>
        <w:t>pour 100 : cout standards, machine15, main d’œuvre directe 22, main d’œuvre réglage 22.</w:t>
      </w:r>
    </w:p>
    <w:p w:rsidR="002B6886" w:rsidRDefault="002B6886" w:rsidP="00AB6B2D">
      <w:r>
        <w:t xml:space="preserve">Pour 200 cout </w:t>
      </w:r>
      <w:r w:rsidR="00391DB2">
        <w:t>standards, machine15</w:t>
      </w:r>
      <w:r w:rsidR="00FB46BF">
        <w:t xml:space="preserve"> main d’œuvre directe22</w:t>
      </w:r>
      <w:r w:rsidR="00391DB2">
        <w:t>, main</w:t>
      </w:r>
      <w:r w:rsidR="00FB46BF">
        <w:t xml:space="preserve"> </w:t>
      </w:r>
      <w:r w:rsidR="00391DB2">
        <w:t>d’œuvre</w:t>
      </w:r>
      <w:r w:rsidR="00FB46BF">
        <w:t xml:space="preserve"> réglage 22.</w:t>
      </w:r>
    </w:p>
    <w:p w:rsidR="00FB46BF" w:rsidRDefault="00FB46BF" w:rsidP="00AB6B2D">
      <w:r>
        <w:t>Pour 930</w:t>
      </w:r>
      <w:r w:rsidR="00391DB2">
        <w:t xml:space="preserve"> cout standards, machine 16, 50, main d’œuvre directe20, main d’œuvre réglage 0</w:t>
      </w:r>
    </w:p>
    <w:p w:rsidR="00391DB2" w:rsidRDefault="00391DB2" w:rsidP="00AB6B2D">
      <w:r>
        <w:t>Pour 930 :16,50 main d’œuvre directe20 main d’œuvre réglage 0.</w:t>
      </w:r>
    </w:p>
    <w:p w:rsidR="00245B96" w:rsidRDefault="00245B96" w:rsidP="00AB6B2D">
      <w:r>
        <w:t xml:space="preserve">La capacité du poste de charge est </w:t>
      </w:r>
      <w:r w:rsidR="00D331B7">
        <w:t>définie</w:t>
      </w:r>
      <w:r>
        <w:t xml:space="preserve"> comme étant critique</w:t>
      </w:r>
      <w:r w:rsidR="00D331B7">
        <w:t>.</w:t>
      </w:r>
    </w:p>
    <w:p w:rsidR="00D331B7" w:rsidRDefault="00D331B7" w:rsidP="00D331B7">
      <w:pPr>
        <w:pStyle w:val="Paragraphedeliste"/>
        <w:numPr>
          <w:ilvl w:val="0"/>
          <w:numId w:val="1"/>
        </w:numPr>
      </w:pPr>
      <w:r>
        <w:t xml:space="preserve">On appelle temps de transfert le temps nécessaire pour transformer les pièces </w:t>
      </w:r>
      <w:r w:rsidR="00EE0A91">
        <w:t>à</w:t>
      </w:r>
      <w:r>
        <w:t xml:space="preserve"> la phase de jalonnement </w:t>
      </w:r>
      <w:r w:rsidR="001D559B">
        <w:t>à</w:t>
      </w:r>
      <w:r>
        <w:t xml:space="preserve"> capacité infini et pour l’ordonnancement.</w:t>
      </w:r>
    </w:p>
    <w:p w:rsidR="00D331B7" w:rsidRDefault="00D331B7" w:rsidP="00D331B7">
      <w:pPr>
        <w:pStyle w:val="Paragraphedeliste"/>
        <w:numPr>
          <w:ilvl w:val="0"/>
          <w:numId w:val="1"/>
        </w:numPr>
      </w:pPr>
      <w:r>
        <w:t xml:space="preserve">La qualité du temps permet d’exprimer le temps de fabrication sous forme de </w:t>
      </w:r>
      <w:r w:rsidR="00EE0A91">
        <w:t>cadence, mais</w:t>
      </w:r>
      <w:r>
        <w:t xml:space="preserve"> aussi de </w:t>
      </w:r>
      <w:r w:rsidR="00013449">
        <w:t>spécifier</w:t>
      </w:r>
      <w:r>
        <w:t xml:space="preserve"> le temps en seconde.</w:t>
      </w:r>
    </w:p>
    <w:p w:rsidR="00013449" w:rsidRPr="00A82D68" w:rsidRDefault="00C5064F" w:rsidP="00A82D68">
      <w:pPr>
        <w:rPr>
          <w:u w:val="single"/>
        </w:rPr>
      </w:pPr>
      <w:r w:rsidRPr="00A82D68">
        <w:rPr>
          <w:u w:val="single"/>
        </w:rPr>
        <w:t>SESSION4 :</w:t>
      </w:r>
    </w:p>
    <w:p w:rsidR="00C5064F" w:rsidRDefault="00C5064F" w:rsidP="00C5064F">
      <w:pPr>
        <w:pStyle w:val="Paragraphedeliste"/>
        <w:numPr>
          <w:ilvl w:val="0"/>
          <w:numId w:val="6"/>
        </w:numPr>
      </w:pPr>
      <w:r>
        <w:t xml:space="preserve">Dans </w:t>
      </w:r>
      <w:r w:rsidR="00EE0A91">
        <w:t>l’évolution</w:t>
      </w:r>
      <w:r>
        <w:t xml:space="preserve"> des stocks nous constatons un large </w:t>
      </w:r>
      <w:r w:rsidR="00EE0A91">
        <w:t>écart</w:t>
      </w:r>
      <w:r>
        <w:t xml:space="preserve"> entre les stocks </w:t>
      </w:r>
      <w:r w:rsidR="00EE0A91">
        <w:t>à</w:t>
      </w:r>
      <w:r>
        <w:t xml:space="preserve"> des variables </w:t>
      </w:r>
      <w:r w:rsidR="00EE0A91">
        <w:t>différents</w:t>
      </w:r>
      <w:r>
        <w:t>.</w:t>
      </w:r>
    </w:p>
    <w:p w:rsidR="00C5064F" w:rsidRDefault="00C5064F" w:rsidP="00C5064F">
      <w:pPr>
        <w:pStyle w:val="Paragraphedeliste"/>
        <w:numPr>
          <w:ilvl w:val="0"/>
          <w:numId w:val="6"/>
        </w:numPr>
      </w:pPr>
      <w:r>
        <w:t xml:space="preserve">Dans </w:t>
      </w:r>
      <w:r w:rsidR="00EE0A91">
        <w:t>l’article</w:t>
      </w:r>
      <w:r>
        <w:t xml:space="preserve"> type HASS nous constatons un coefficient de 3 stable dans le graphe.</w:t>
      </w:r>
    </w:p>
    <w:p w:rsidR="00C5064F" w:rsidRDefault="00C5064F" w:rsidP="00C5064F">
      <w:pPr>
        <w:pStyle w:val="Paragraphedeliste"/>
        <w:numPr>
          <w:ilvl w:val="0"/>
          <w:numId w:val="6"/>
        </w:numPr>
      </w:pPr>
      <w:r>
        <w:t xml:space="preserve">Pour </w:t>
      </w:r>
      <w:r w:rsidR="00EE0A91">
        <w:t>l’article</w:t>
      </w:r>
      <w:r>
        <w:t xml:space="preserve"> HFAB nous constatons sur le graphe un coefficient de </w:t>
      </w:r>
      <w:r w:rsidR="00A82D68">
        <w:t>de capacité 6 stable.</w:t>
      </w:r>
    </w:p>
    <w:p w:rsidR="00A82D68" w:rsidRDefault="00A82D68" w:rsidP="00A82D68">
      <w:pPr>
        <w:tabs>
          <w:tab w:val="left" w:pos="1275"/>
        </w:tabs>
      </w:pPr>
      <w:r>
        <w:rPr>
          <w:u w:val="single"/>
        </w:rPr>
        <w:t>SESSION5 </w:t>
      </w:r>
      <w:r w:rsidR="00EE0A91">
        <w:rPr>
          <w:u w:val="single"/>
        </w:rPr>
        <w:t>:</w:t>
      </w:r>
      <w:r w:rsidR="00EE0A91" w:rsidRPr="00A82D68">
        <w:t xml:space="preserve"> ici</w:t>
      </w:r>
      <w:r w:rsidRPr="00A82D68">
        <w:t xml:space="preserve"> nous remarquons les </w:t>
      </w:r>
      <w:r w:rsidR="00EE0A91" w:rsidRPr="00A82D68">
        <w:t>différents</w:t>
      </w:r>
      <w:r w:rsidRPr="00A82D68">
        <w:t xml:space="preserve"> types de comptes</w:t>
      </w:r>
      <w:r>
        <w:t xml:space="preserve"> </w:t>
      </w:r>
      <w:r w:rsidR="00EE0A91">
        <w:t>à</w:t>
      </w:r>
      <w:r>
        <w:t xml:space="preserve"> savoir les bilans du passif de nature regroupement et les comptes de </w:t>
      </w:r>
      <w:r w:rsidR="00EE0A91">
        <w:t>l’actif</w:t>
      </w:r>
      <w:r>
        <w:t xml:space="preserve"> de nature regroupement.</w:t>
      </w:r>
    </w:p>
    <w:p w:rsidR="00A82D68" w:rsidRDefault="00A82D68" w:rsidP="00A82D68">
      <w:pPr>
        <w:pStyle w:val="Paragraphedeliste"/>
        <w:numPr>
          <w:ilvl w:val="0"/>
          <w:numId w:val="7"/>
        </w:numPr>
        <w:tabs>
          <w:tab w:val="left" w:pos="1275"/>
        </w:tabs>
      </w:pPr>
      <w:r>
        <w:t xml:space="preserve">Le tableau des charges a une fonction de cumule par postes de charges issues des ordres </w:t>
      </w:r>
      <w:r w:rsidR="00EE0A91">
        <w:t>suggérés</w:t>
      </w:r>
      <w:r>
        <w:t xml:space="preserve"> ordres fermes et ordres lancés.</w:t>
      </w:r>
    </w:p>
    <w:p w:rsidR="00A82D68" w:rsidRDefault="00A82D68" w:rsidP="00A82D68">
      <w:pPr>
        <w:tabs>
          <w:tab w:val="left" w:pos="1275"/>
        </w:tabs>
      </w:pPr>
      <w:r>
        <w:t>SESSION 7</w:t>
      </w:r>
    </w:p>
    <w:p w:rsidR="00A82D68" w:rsidRDefault="00A82D68" w:rsidP="00A82D68">
      <w:pPr>
        <w:pStyle w:val="Paragraphedeliste"/>
        <w:numPr>
          <w:ilvl w:val="0"/>
          <w:numId w:val="7"/>
        </w:numPr>
        <w:tabs>
          <w:tab w:val="left" w:pos="1275"/>
        </w:tabs>
      </w:pPr>
      <w:r>
        <w:t xml:space="preserve">La nous constatons un diagramme descendant </w:t>
      </w:r>
      <w:r w:rsidR="00EE0A91">
        <w:t>d’un</w:t>
      </w:r>
      <w:r>
        <w:t xml:space="preserve"> niveau de </w:t>
      </w:r>
      <w:r w:rsidR="00EE0A91">
        <w:t>984.</w:t>
      </w:r>
    </w:p>
    <w:p w:rsidR="00A82D68" w:rsidRDefault="00A82D68" w:rsidP="00A82D68">
      <w:pPr>
        <w:pStyle w:val="Paragraphedeliste"/>
        <w:numPr>
          <w:ilvl w:val="0"/>
          <w:numId w:val="7"/>
        </w:numPr>
        <w:tabs>
          <w:tab w:val="left" w:pos="1275"/>
        </w:tabs>
      </w:pPr>
      <w:r>
        <w:t>Si la case nouvelle suggestion est activé</w:t>
      </w:r>
      <w:r w:rsidR="00EE0A91">
        <w:t xml:space="preserve"> nous constatons que le graphe devient ascendante jusqu’au niveau de 501.</w:t>
      </w:r>
    </w:p>
    <w:p w:rsidR="00EE0A91" w:rsidRDefault="00EE0A91" w:rsidP="00A82D68">
      <w:pPr>
        <w:pStyle w:val="Paragraphedeliste"/>
        <w:numPr>
          <w:ilvl w:val="0"/>
          <w:numId w:val="7"/>
        </w:numPr>
        <w:tabs>
          <w:tab w:val="left" w:pos="1275"/>
        </w:tabs>
      </w:pPr>
      <w:r>
        <w:t>L’article ARM100 nous constatons une attente des commandes</w:t>
      </w:r>
    </w:p>
    <w:p w:rsidR="00EE0A91" w:rsidRDefault="00EE0A91" w:rsidP="00A82D68">
      <w:pPr>
        <w:pStyle w:val="Paragraphedeliste"/>
        <w:numPr>
          <w:ilvl w:val="0"/>
          <w:numId w:val="7"/>
        </w:numPr>
        <w:tabs>
          <w:tab w:val="left" w:pos="1275"/>
        </w:tabs>
      </w:pPr>
      <w:r>
        <w:t>Nous constatons aussi une commande imputée.</w:t>
      </w:r>
    </w:p>
    <w:p w:rsidR="00C5064F" w:rsidRDefault="00EE0A91" w:rsidP="00EE0A91">
      <w:pPr>
        <w:pStyle w:val="Paragraphedeliste"/>
        <w:numPr>
          <w:ilvl w:val="0"/>
          <w:numId w:val="7"/>
        </w:numPr>
        <w:tabs>
          <w:tab w:val="left" w:pos="1275"/>
        </w:tabs>
      </w:pPr>
      <w:r>
        <w:t>Ici le poste 940 nous constatons une charge machine des OF suggères de travail et des OF ferme de travail.</w:t>
      </w:r>
    </w:p>
    <w:p w:rsidR="00EE0A91" w:rsidRDefault="00EE0A91" w:rsidP="00EE0A91">
      <w:pPr>
        <w:pStyle w:val="Paragraphedeliste"/>
        <w:numPr>
          <w:ilvl w:val="0"/>
          <w:numId w:val="7"/>
        </w:numPr>
        <w:tabs>
          <w:tab w:val="left" w:pos="1275"/>
        </w:tabs>
      </w:pPr>
      <w:r>
        <w:t>Ici les ordres d’achat fermes n’ont pas les mêmes dates de livraison par ce que les quantités attendues sont différents</w:t>
      </w:r>
    </w:p>
    <w:p w:rsidR="00EE0A91" w:rsidRDefault="00EE0A91" w:rsidP="00EE0A91">
      <w:pPr>
        <w:pStyle w:val="Paragraphedeliste"/>
        <w:numPr>
          <w:ilvl w:val="0"/>
          <w:numId w:val="7"/>
        </w:numPr>
        <w:tabs>
          <w:tab w:val="left" w:pos="1275"/>
        </w:tabs>
      </w:pPr>
    </w:p>
    <w:p w:rsidR="00391DB2" w:rsidRPr="00245B96" w:rsidRDefault="00391DB2" w:rsidP="00AB6B2D">
      <w:pPr>
        <w:rPr>
          <w:u w:val="single"/>
        </w:rPr>
      </w:pPr>
      <w:bookmarkStart w:id="0" w:name="_GoBack"/>
      <w:bookmarkEnd w:id="0"/>
    </w:p>
    <w:sectPr w:rsidR="00391DB2" w:rsidRPr="00245B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3F85"/>
    <w:multiLevelType w:val="hybridMultilevel"/>
    <w:tmpl w:val="2FD42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275E08"/>
    <w:multiLevelType w:val="hybridMultilevel"/>
    <w:tmpl w:val="BDC84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5252A4"/>
    <w:multiLevelType w:val="hybridMultilevel"/>
    <w:tmpl w:val="64847C2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2417BA6"/>
    <w:multiLevelType w:val="hybridMultilevel"/>
    <w:tmpl w:val="237CBCF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nsid w:val="78E52A8A"/>
    <w:multiLevelType w:val="hybridMultilevel"/>
    <w:tmpl w:val="6F26A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F5F3321"/>
    <w:multiLevelType w:val="hybridMultilevel"/>
    <w:tmpl w:val="81229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FFA5FA4"/>
    <w:multiLevelType w:val="hybridMultilevel"/>
    <w:tmpl w:val="46860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2D"/>
    <w:rsid w:val="00013449"/>
    <w:rsid w:val="001D559B"/>
    <w:rsid w:val="00245B96"/>
    <w:rsid w:val="002B6886"/>
    <w:rsid w:val="00391DB2"/>
    <w:rsid w:val="00A06623"/>
    <w:rsid w:val="00A82D68"/>
    <w:rsid w:val="00AB6B2D"/>
    <w:rsid w:val="00B179AF"/>
    <w:rsid w:val="00C227CC"/>
    <w:rsid w:val="00C5064F"/>
    <w:rsid w:val="00D331B7"/>
    <w:rsid w:val="00EC5215"/>
    <w:rsid w:val="00EE0A91"/>
    <w:rsid w:val="00FB46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E44D1-E01A-460E-B241-45233C74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3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369</Words>
  <Characters>2034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DIOH</dc:creator>
  <cp:keywords/>
  <dc:description/>
  <cp:lastModifiedBy>DIOH</cp:lastModifiedBy>
  <cp:revision>1</cp:revision>
  <dcterms:created xsi:type="dcterms:W3CDTF">2016-05-26T16:28:00Z</dcterms:created>
  <dcterms:modified xsi:type="dcterms:W3CDTF">2016-05-26T20:52:00Z</dcterms:modified>
</cp:coreProperties>
</file>