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B0" w:rsidRPr="00F60D1B" w:rsidRDefault="004275B0" w:rsidP="00E13138">
      <w:pPr>
        <w:pStyle w:val="Default"/>
        <w:jc w:val="both"/>
        <w:rPr>
          <w:rFonts w:asciiTheme="minorHAnsi" w:hAnsiTheme="minorHAnsi"/>
          <w:color w:val="000000" w:themeColor="text1"/>
        </w:rPr>
      </w:pPr>
    </w:p>
    <w:p w:rsidR="004275B0" w:rsidRDefault="004275B0" w:rsidP="00E13138">
      <w:pPr>
        <w:pStyle w:val="Default"/>
        <w:jc w:val="both"/>
        <w:rPr>
          <w:rFonts w:asciiTheme="minorHAnsi" w:hAnsiTheme="minorHAnsi"/>
          <w:b/>
          <w:bCs/>
          <w:color w:val="000000" w:themeColor="text1"/>
          <w:sz w:val="36"/>
          <w:szCs w:val="36"/>
        </w:rPr>
      </w:pPr>
      <w:r w:rsidRPr="00F60D1B">
        <w:rPr>
          <w:rFonts w:asciiTheme="minorHAnsi" w:hAnsiTheme="minorHAnsi"/>
          <w:b/>
          <w:bCs/>
          <w:color w:val="000000" w:themeColor="text1"/>
          <w:sz w:val="36"/>
          <w:szCs w:val="36"/>
        </w:rPr>
        <w:t xml:space="preserve">Corrigé des questions du cas </w:t>
      </w:r>
      <w:proofErr w:type="spellStart"/>
      <w:r w:rsidRPr="00F60D1B">
        <w:rPr>
          <w:rFonts w:asciiTheme="minorHAnsi" w:hAnsiTheme="minorHAnsi"/>
          <w:b/>
          <w:bCs/>
          <w:color w:val="000000" w:themeColor="text1"/>
          <w:sz w:val="36"/>
          <w:szCs w:val="36"/>
        </w:rPr>
        <w:t>Picaso</w:t>
      </w:r>
      <w:proofErr w:type="spellEnd"/>
    </w:p>
    <w:p w:rsidR="00F60D1B" w:rsidRPr="00F60D1B" w:rsidRDefault="00F60D1B" w:rsidP="00E13138">
      <w:pPr>
        <w:pStyle w:val="Default"/>
        <w:jc w:val="both"/>
        <w:rPr>
          <w:rFonts w:asciiTheme="minorHAnsi" w:hAnsiTheme="minorHAnsi"/>
          <w:color w:val="000000" w:themeColor="text1"/>
          <w:sz w:val="36"/>
          <w:szCs w:val="36"/>
        </w:rPr>
      </w:pPr>
    </w:p>
    <w:tbl>
      <w:tblPr>
        <w:tblW w:w="0" w:type="auto"/>
        <w:tblBorders>
          <w:top w:val="nil"/>
          <w:left w:val="nil"/>
          <w:bottom w:val="nil"/>
          <w:right w:val="nil"/>
        </w:tblBorders>
        <w:tblLayout w:type="fixed"/>
        <w:tblLook w:val="0000" w:firstRow="0" w:lastRow="0" w:firstColumn="0" w:lastColumn="0" w:noHBand="0" w:noVBand="0"/>
      </w:tblPr>
      <w:tblGrid>
        <w:gridCol w:w="3920"/>
      </w:tblGrid>
      <w:tr w:rsidR="00F60D1B" w:rsidRPr="00F60D1B" w:rsidTr="00E13138">
        <w:tblPrEx>
          <w:tblCellMar>
            <w:top w:w="0" w:type="dxa"/>
            <w:bottom w:w="0" w:type="dxa"/>
          </w:tblCellMar>
        </w:tblPrEx>
        <w:trPr>
          <w:trHeight w:val="878"/>
        </w:trPr>
        <w:tc>
          <w:tcPr>
            <w:tcW w:w="3920" w:type="dxa"/>
          </w:tcPr>
          <w:p w:rsidR="00F60D1B" w:rsidRDefault="00F60D1B" w:rsidP="00E13138">
            <w:pPr>
              <w:pStyle w:val="Default"/>
              <w:jc w:val="both"/>
              <w:rPr>
                <w:rFonts w:asciiTheme="minorHAnsi" w:hAnsiTheme="minorHAnsi"/>
                <w:b/>
                <w:bCs/>
                <w:color w:val="000000" w:themeColor="text1"/>
                <w:sz w:val="28"/>
                <w:szCs w:val="28"/>
              </w:rPr>
            </w:pPr>
            <w:r w:rsidRPr="00F60D1B">
              <w:rPr>
                <w:rFonts w:asciiTheme="minorHAnsi" w:hAnsiTheme="minorHAnsi"/>
                <w:b/>
                <w:bCs/>
                <w:color w:val="000000" w:themeColor="text1"/>
                <w:sz w:val="28"/>
                <w:szCs w:val="28"/>
              </w:rPr>
              <w:t>Session 1 : Saisie des articles</w:t>
            </w:r>
          </w:p>
          <w:p w:rsidR="00F60D1B" w:rsidRDefault="00F60D1B" w:rsidP="00E13138">
            <w:pPr>
              <w:pStyle w:val="Default"/>
              <w:jc w:val="both"/>
              <w:rPr>
                <w:rFonts w:asciiTheme="minorHAnsi" w:hAnsiTheme="minorHAnsi"/>
                <w:b/>
                <w:bCs/>
                <w:color w:val="000000" w:themeColor="text1"/>
                <w:sz w:val="28"/>
                <w:szCs w:val="28"/>
              </w:rPr>
            </w:pPr>
          </w:p>
          <w:p w:rsidR="00F60D1B" w:rsidRDefault="00F60D1B" w:rsidP="00E13138">
            <w:pPr>
              <w:pStyle w:val="Default"/>
              <w:jc w:val="both"/>
              <w:rPr>
                <w:rFonts w:asciiTheme="minorHAnsi" w:hAnsiTheme="minorHAnsi"/>
                <w:b/>
                <w:bCs/>
                <w:color w:val="000000" w:themeColor="text1"/>
                <w:sz w:val="28"/>
                <w:szCs w:val="28"/>
              </w:rPr>
            </w:pPr>
          </w:p>
          <w:p w:rsidR="00F60D1B" w:rsidRDefault="00F60D1B" w:rsidP="00E13138">
            <w:pPr>
              <w:pStyle w:val="Default"/>
              <w:jc w:val="both"/>
              <w:rPr>
                <w:rFonts w:asciiTheme="minorHAnsi" w:hAnsiTheme="minorHAnsi" w:cs="Times New Roman"/>
                <w:b/>
                <w:bCs/>
                <w:i/>
                <w:iCs/>
                <w:color w:val="000000" w:themeColor="text1"/>
                <w:sz w:val="22"/>
                <w:szCs w:val="22"/>
              </w:rPr>
            </w:pPr>
            <w:r w:rsidRPr="00F60D1B">
              <w:rPr>
                <w:rFonts w:asciiTheme="minorHAnsi" w:hAnsiTheme="minorHAnsi" w:cs="Times New Roman"/>
                <w:b/>
                <w:bCs/>
                <w:i/>
                <w:iCs/>
                <w:color w:val="000000" w:themeColor="text1"/>
                <w:sz w:val="22"/>
                <w:szCs w:val="22"/>
              </w:rPr>
              <w:t>QUESTION 1-1</w:t>
            </w:r>
          </w:p>
          <w:p w:rsidR="00F60D1B" w:rsidRDefault="00F60D1B" w:rsidP="00E13138">
            <w:pPr>
              <w:pStyle w:val="Default"/>
              <w:jc w:val="both"/>
              <w:rPr>
                <w:rFonts w:asciiTheme="minorHAnsi" w:hAnsiTheme="minorHAnsi" w:cs="Times New Roman"/>
                <w:b/>
                <w:bCs/>
                <w:i/>
                <w:iCs/>
                <w:color w:val="000000" w:themeColor="text1"/>
                <w:sz w:val="22"/>
                <w:szCs w:val="22"/>
              </w:rPr>
            </w:pP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Les délais d'obtention des produits (correspondant au délai de réalisation de la dernière étape de fabrication pour un composé ou au délai de livraison du fournisseur pour les matières premières) sont spécifiés de manière indépendante de la taille des lots de fabrication ou des commandes. Par exemple, 3 jours pour ARM100. Qu'en pensez-vous ? Cela est-il cohérent avec une méthode de planification des activités de production ?</w:t>
            </w:r>
          </w:p>
        </w:tc>
      </w:tr>
      <w:tr w:rsidR="00E13138" w:rsidRPr="00F60D1B" w:rsidTr="00E13138">
        <w:tblPrEx>
          <w:tblCellMar>
            <w:top w:w="0" w:type="dxa"/>
            <w:bottom w:w="0" w:type="dxa"/>
          </w:tblCellMar>
        </w:tblPrEx>
        <w:trPr>
          <w:trHeight w:val="1396"/>
        </w:trPr>
        <w:tc>
          <w:tcPr>
            <w:tcW w:w="3920" w:type="dxa"/>
          </w:tcPr>
          <w:p w:rsidR="00E13138" w:rsidRDefault="00E13138" w:rsidP="00E13138">
            <w:pPr>
              <w:pStyle w:val="Default"/>
              <w:jc w:val="both"/>
              <w:rPr>
                <w:rFonts w:asciiTheme="minorHAnsi" w:hAnsiTheme="minorHAnsi" w:cs="Times New Roman"/>
                <w:b/>
                <w:bCs/>
                <w:i/>
                <w:iCs/>
                <w:color w:val="000000" w:themeColor="text1"/>
                <w:sz w:val="22"/>
                <w:szCs w:val="22"/>
              </w:rPr>
            </w:pPr>
            <w:r w:rsidRPr="00F60D1B">
              <w:rPr>
                <w:rFonts w:asciiTheme="minorHAnsi" w:hAnsiTheme="minorHAnsi" w:cs="Times New Roman"/>
                <w:b/>
                <w:bCs/>
                <w:i/>
                <w:iCs/>
                <w:color w:val="000000" w:themeColor="text1"/>
                <w:sz w:val="22"/>
                <w:szCs w:val="22"/>
              </w:rPr>
              <w:t>REPONSE 1-1</w:t>
            </w:r>
          </w:p>
          <w:p w:rsidR="00E13138" w:rsidRDefault="00E13138" w:rsidP="00E13138">
            <w:pPr>
              <w:pStyle w:val="Default"/>
              <w:jc w:val="both"/>
              <w:rPr>
                <w:rFonts w:asciiTheme="minorHAnsi" w:hAnsiTheme="minorHAnsi" w:cs="Times New Roman"/>
                <w:b/>
                <w:bCs/>
                <w:i/>
                <w:iCs/>
                <w:color w:val="000000" w:themeColor="text1"/>
                <w:sz w:val="22"/>
                <w:szCs w:val="22"/>
              </w:rPr>
            </w:pPr>
          </w:p>
          <w:p w:rsidR="00E13138" w:rsidRPr="00F60D1B" w:rsidRDefault="00E13138" w:rsidP="00E13138">
            <w:pPr>
              <w:pStyle w:val="Default"/>
              <w:jc w:val="both"/>
              <w:rPr>
                <w:rFonts w:asciiTheme="minorHAnsi" w:hAnsiTheme="minorHAnsi" w:cs="Times New Roman"/>
                <w:color w:val="000000" w:themeColor="text1"/>
                <w:sz w:val="22"/>
                <w:szCs w:val="22"/>
              </w:rPr>
            </w:pPr>
            <w:r w:rsidRPr="00E13138">
              <w:rPr>
                <w:rFonts w:asciiTheme="minorHAnsi" w:hAnsiTheme="minorHAnsi" w:cs="Times New Roman"/>
                <w:color w:val="000000" w:themeColor="text1"/>
                <w:sz w:val="22"/>
                <w:szCs w:val="22"/>
              </w:rPr>
              <w:t xml:space="preserve">Il s'agit à l'évidence d'une simplification par rapport à la réalité vécue sur le terrain. Cette simplification a un impact qui peut être contrôlé dans le cas des approvisionnements de matières premières, via des négociations globales avec les fournisseurs à long terme. Au niveau de l'activité de production, cette rigidité, qui présente l'avantage de la simplicité de mise en </w:t>
            </w:r>
            <w:proofErr w:type="spellStart"/>
            <w:r w:rsidRPr="00E13138">
              <w:rPr>
                <w:rFonts w:asciiTheme="minorHAnsi" w:hAnsiTheme="minorHAnsi" w:cs="Times New Roman"/>
                <w:color w:val="000000" w:themeColor="text1"/>
                <w:sz w:val="22"/>
                <w:szCs w:val="22"/>
              </w:rPr>
              <w:t>oeuvre</w:t>
            </w:r>
            <w:proofErr w:type="spellEnd"/>
            <w:r w:rsidRPr="00E13138">
              <w:rPr>
                <w:rFonts w:asciiTheme="minorHAnsi" w:hAnsiTheme="minorHAnsi" w:cs="Times New Roman"/>
                <w:color w:val="000000" w:themeColor="text1"/>
                <w:sz w:val="22"/>
                <w:szCs w:val="22"/>
              </w:rPr>
              <w:t xml:space="preserve">, pose plus de problèmes et correspond de manière manifeste à une des faiblesses de l'approche de planification. Une telle approximation reste justifiée pour les situations où les temps d'attente en production sont beaucoup plus </w:t>
            </w:r>
            <w:proofErr w:type="gramStart"/>
            <w:r w:rsidRPr="00E13138">
              <w:rPr>
                <w:rFonts w:asciiTheme="minorHAnsi" w:hAnsiTheme="minorHAnsi" w:cs="Times New Roman"/>
                <w:color w:val="000000" w:themeColor="text1"/>
                <w:sz w:val="22"/>
                <w:szCs w:val="22"/>
              </w:rPr>
              <w:t>grand</w:t>
            </w:r>
            <w:proofErr w:type="gramEnd"/>
            <w:r w:rsidRPr="00E13138">
              <w:rPr>
                <w:rFonts w:asciiTheme="minorHAnsi" w:hAnsiTheme="minorHAnsi" w:cs="Times New Roman"/>
                <w:color w:val="000000" w:themeColor="text1"/>
                <w:sz w:val="22"/>
                <w:szCs w:val="22"/>
              </w:rPr>
              <w:t xml:space="preserve"> que les temps opératoires. Dans ce cas, la taille des lots importe relativement peu en fait sur la durée des cycles.</w:t>
            </w:r>
          </w:p>
        </w:tc>
      </w:tr>
    </w:tbl>
    <w:p w:rsidR="004275B0" w:rsidRPr="00F60D1B" w:rsidRDefault="004275B0" w:rsidP="00E13138">
      <w:pPr>
        <w:pStyle w:val="Default"/>
        <w:jc w:val="both"/>
        <w:rPr>
          <w:rFonts w:asciiTheme="minorHAnsi" w:hAnsiTheme="minorHAnsi"/>
          <w:color w:val="000000" w:themeColor="text1"/>
        </w:rPr>
        <w:sectPr w:rsidR="004275B0" w:rsidRPr="00F60D1B">
          <w:pgSz w:w="11906" w:h="17340"/>
          <w:pgMar w:top="2203" w:right="1101" w:bottom="1219" w:left="1334"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3889"/>
        <w:gridCol w:w="3889"/>
      </w:tblGrid>
      <w:tr w:rsidR="00F60D1B" w:rsidRPr="00F60D1B" w:rsidTr="00E13138">
        <w:tblPrEx>
          <w:tblCellMar>
            <w:top w:w="0" w:type="dxa"/>
            <w:bottom w:w="0" w:type="dxa"/>
          </w:tblCellMar>
        </w:tblPrEx>
        <w:trPr>
          <w:trHeight w:val="105"/>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b/>
                <w:bCs/>
                <w:color w:val="000000" w:themeColor="text1"/>
                <w:sz w:val="28"/>
                <w:szCs w:val="28"/>
              </w:rPr>
              <w:lastRenderedPageBreak/>
              <w:t xml:space="preserve">Session 3 : Postes de charge, Gammes de fabrication </w:t>
            </w:r>
            <w:r w:rsidRPr="00F60D1B">
              <w:rPr>
                <w:rFonts w:asciiTheme="minorHAnsi" w:hAnsiTheme="minorHAnsi" w:cs="Times New Roman"/>
                <w:b/>
                <w:bCs/>
                <w:i/>
                <w:iCs/>
                <w:color w:val="000000" w:themeColor="text1"/>
                <w:sz w:val="22"/>
                <w:szCs w:val="22"/>
              </w:rPr>
              <w:t>QUESTION 3-1</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Où sont spécifiées les consommations matières ?</w:t>
            </w:r>
          </w:p>
        </w:tc>
      </w:tr>
      <w:tr w:rsidR="00F60D1B" w:rsidRPr="00F60D1B" w:rsidTr="00E13138">
        <w:tblPrEx>
          <w:tblCellMar>
            <w:top w:w="0" w:type="dxa"/>
            <w:bottom w:w="0" w:type="dxa"/>
          </w:tblCellMar>
        </w:tblPrEx>
        <w:trPr>
          <w:trHeight w:val="105"/>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3-1</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Dans les nomenclatures.</w:t>
            </w:r>
          </w:p>
        </w:tc>
      </w:tr>
      <w:tr w:rsidR="00F60D1B" w:rsidRPr="00F60D1B" w:rsidTr="00E13138">
        <w:tblPrEx>
          <w:tblCellMar>
            <w:top w:w="0" w:type="dxa"/>
            <w:bottom w:w="0" w:type="dxa"/>
          </w:tblCellMar>
        </w:tblPrEx>
        <w:trPr>
          <w:trHeight w:val="105"/>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3-2</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Qu'est-ce que le temps de transfert ?</w:t>
            </w:r>
          </w:p>
          <w:p w:rsidR="004275B0" w:rsidRPr="00F60D1B" w:rsidRDefault="004275B0"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trHeight w:val="229"/>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3-2</w:t>
            </w:r>
          </w:p>
        </w:tc>
        <w:tc>
          <w:tcPr>
            <w:tcW w:w="3889" w:type="dxa"/>
          </w:tcPr>
          <w:p w:rsidR="000B4B93"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C'est le temps nécessaire pour passer d'une opération de gamme à la suivante.</w:t>
            </w:r>
          </w:p>
          <w:p w:rsidR="004275B0" w:rsidRPr="00F60D1B" w:rsidRDefault="004275B0"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trHeight w:val="105"/>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3-3</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Qu’</w:t>
            </w:r>
            <w:proofErr w:type="spellStart"/>
            <w:r w:rsidRPr="00F60D1B">
              <w:rPr>
                <w:rFonts w:asciiTheme="minorHAnsi" w:hAnsiTheme="minorHAnsi" w:cs="Times New Roman"/>
                <w:color w:val="000000" w:themeColor="text1"/>
                <w:sz w:val="22"/>
                <w:szCs w:val="22"/>
              </w:rPr>
              <w:t>est ce</w:t>
            </w:r>
            <w:proofErr w:type="spellEnd"/>
            <w:r w:rsidRPr="00F60D1B">
              <w:rPr>
                <w:rFonts w:asciiTheme="minorHAnsi" w:hAnsiTheme="minorHAnsi" w:cs="Times New Roman"/>
                <w:color w:val="000000" w:themeColor="text1"/>
                <w:sz w:val="22"/>
                <w:szCs w:val="22"/>
              </w:rPr>
              <w:t xml:space="preserve"> que la quantité du temps ?</w:t>
            </w:r>
          </w:p>
          <w:p w:rsidR="004275B0" w:rsidRPr="00F60D1B" w:rsidRDefault="004275B0"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trHeight w:val="489"/>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3-3</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La quantité du temps est le nombre de pièces réalisées dans le temps machine spécifié. Cela permet d’exprimer des temps sous forme de cadence : par exemple, si l’on entre 1 dans le temps et 40 dans la quantité du temps, cela signifie que l’on réalise 40 pièces à l’heure.</w:t>
            </w:r>
          </w:p>
          <w:p w:rsidR="004275B0" w:rsidRPr="00F60D1B" w:rsidRDefault="004275B0"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trHeight w:val="229"/>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3-4</w:t>
            </w:r>
          </w:p>
        </w:tc>
        <w:tc>
          <w:tcPr>
            <w:tcW w:w="3889" w:type="dxa"/>
          </w:tcPr>
          <w:p w:rsidR="004275B0" w:rsidRPr="00F60D1B" w:rsidRDefault="004275B0"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A-t-on défini à ce niveau selon quelle gamme un article donné est fabriqué (ARM100 par exemple) ?</w:t>
            </w:r>
          </w:p>
        </w:tc>
      </w:tr>
      <w:tr w:rsidR="00F60D1B" w:rsidRPr="00F60D1B" w:rsidTr="00E13138">
        <w:tblPrEx>
          <w:tblCellMar>
            <w:top w:w="0" w:type="dxa"/>
            <w:bottom w:w="0" w:type="dxa"/>
          </w:tblCellMar>
        </w:tblPrEx>
        <w:trPr>
          <w:trHeight w:val="105"/>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3-4</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Non.</w:t>
            </w:r>
          </w:p>
          <w:p w:rsidR="004275B0" w:rsidRPr="00F60D1B" w:rsidRDefault="004275B0" w:rsidP="00E13138">
            <w:pPr>
              <w:pStyle w:val="Default"/>
              <w:jc w:val="both"/>
              <w:rPr>
                <w:rFonts w:asciiTheme="minorHAnsi" w:hAnsiTheme="minorHAnsi" w:cs="Times New Roman"/>
                <w:color w:val="000000" w:themeColor="text1"/>
                <w:sz w:val="22"/>
                <w:szCs w:val="22"/>
              </w:rPr>
            </w:pPr>
          </w:p>
        </w:tc>
      </w:tr>
      <w:tr w:rsidR="00F60D1B" w:rsidRPr="00F60D1B" w:rsidTr="00E13138">
        <w:tblPrEx>
          <w:tblCellMar>
            <w:top w:w="0" w:type="dxa"/>
            <w:bottom w:w="0" w:type="dxa"/>
          </w:tblCellMar>
        </w:tblPrEx>
        <w:trPr>
          <w:trHeight w:val="359"/>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3-7</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Comment évaluer les charges "machine" des différents postes de charge correspondant à la fabrication d'un lot de 100 profilés "profil" ?</w:t>
            </w:r>
          </w:p>
          <w:p w:rsidR="004275B0" w:rsidRPr="00F60D1B" w:rsidRDefault="004275B0"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trHeight w:val="359"/>
        </w:trPr>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374</w:t>
            </w:r>
          </w:p>
        </w:tc>
        <w:tc>
          <w:tcPr>
            <w:tcW w:w="3889" w:type="dxa"/>
          </w:tcPr>
          <w:p w:rsidR="004275B0" w:rsidRPr="00F60D1B" w:rsidRDefault="004275B0"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On multiplie les temps machine par la quantité et on ajoute le temps de réglage pour chacune des opérations de la gamme de fabrication de l’article.</w:t>
            </w:r>
          </w:p>
          <w:p w:rsidR="000B4B93" w:rsidRPr="00F60D1B" w:rsidRDefault="000B4B93" w:rsidP="00E13138">
            <w:pPr>
              <w:pStyle w:val="Default"/>
              <w:jc w:val="both"/>
              <w:rPr>
                <w:rFonts w:asciiTheme="minorHAnsi" w:hAnsiTheme="minorHAnsi" w:cs="Times New Roman"/>
                <w:color w:val="000000" w:themeColor="text1"/>
                <w:sz w:val="22"/>
                <w:szCs w:val="22"/>
              </w:rPr>
            </w:pPr>
          </w:p>
          <w:p w:rsidR="000B4B93" w:rsidRPr="00F60D1B" w:rsidRDefault="000B4B93" w:rsidP="00E13138">
            <w:pPr>
              <w:pStyle w:val="Default"/>
              <w:jc w:val="both"/>
              <w:rPr>
                <w:rFonts w:asciiTheme="minorHAnsi" w:hAnsiTheme="minorHAnsi" w:cs="Times New Roman"/>
                <w:color w:val="000000" w:themeColor="text1"/>
                <w:sz w:val="22"/>
                <w:szCs w:val="22"/>
              </w:rPr>
            </w:pPr>
          </w:p>
          <w:p w:rsidR="000B4B93" w:rsidRPr="00F60D1B" w:rsidRDefault="000B4B93" w:rsidP="00E13138">
            <w:pPr>
              <w:pStyle w:val="Default"/>
              <w:jc w:val="both"/>
              <w:rPr>
                <w:rFonts w:asciiTheme="minorHAnsi" w:hAnsiTheme="minorHAnsi" w:cs="Times New Roman"/>
                <w:color w:val="000000" w:themeColor="text1"/>
                <w:sz w:val="22"/>
                <w:szCs w:val="22"/>
              </w:rPr>
            </w:pPr>
          </w:p>
          <w:p w:rsidR="000B4B93" w:rsidRPr="00F60D1B" w:rsidRDefault="000B4B93" w:rsidP="00E13138">
            <w:pPr>
              <w:pStyle w:val="Default"/>
              <w:jc w:val="both"/>
              <w:rPr>
                <w:rFonts w:asciiTheme="minorHAnsi" w:hAnsiTheme="minorHAnsi"/>
                <w:color w:val="000000" w:themeColor="text1"/>
                <w:sz w:val="22"/>
                <w:szCs w:val="22"/>
              </w:rPr>
            </w:pPr>
          </w:p>
        </w:tc>
      </w:tr>
    </w:tbl>
    <w:p w:rsidR="000B4B93" w:rsidRPr="00F60D1B" w:rsidRDefault="000B4B93" w:rsidP="00E13138">
      <w:pPr>
        <w:pStyle w:val="Default"/>
        <w:jc w:val="both"/>
        <w:rPr>
          <w:rFonts w:asciiTheme="minorHAnsi" w:hAnsiTheme="minorHAnsi"/>
          <w:color w:val="000000" w:themeColor="text1"/>
        </w:rPr>
        <w:sectPr w:rsidR="000B4B93" w:rsidRPr="00F60D1B">
          <w:pgSz w:w="11906" w:h="17340"/>
          <w:pgMar w:top="1164" w:right="1265" w:bottom="1219" w:left="2116"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3834"/>
        <w:gridCol w:w="108"/>
        <w:gridCol w:w="3727"/>
        <w:gridCol w:w="216"/>
      </w:tblGrid>
      <w:tr w:rsidR="00F60D1B" w:rsidRPr="00F60D1B" w:rsidTr="00E13138">
        <w:tblPrEx>
          <w:tblCellMar>
            <w:top w:w="0" w:type="dxa"/>
            <w:bottom w:w="0" w:type="dxa"/>
          </w:tblCellMar>
        </w:tblPrEx>
        <w:trPr>
          <w:trHeight w:val="232"/>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b/>
                <w:bCs/>
                <w:color w:val="000000" w:themeColor="text1"/>
                <w:sz w:val="28"/>
                <w:szCs w:val="28"/>
              </w:rPr>
              <w:lastRenderedPageBreak/>
              <w:t xml:space="preserve">Session 6 : Procédure de calcul des besoins pour les approvisionnements et la production </w:t>
            </w:r>
            <w:r w:rsidRPr="00F60D1B">
              <w:rPr>
                <w:rFonts w:asciiTheme="minorHAnsi" w:hAnsiTheme="minorHAnsi" w:cs="Times New Roman"/>
                <w:b/>
                <w:bCs/>
                <w:i/>
                <w:iCs/>
                <w:color w:val="000000" w:themeColor="text1"/>
                <w:sz w:val="22"/>
                <w:szCs w:val="22"/>
              </w:rPr>
              <w:t>QUESTION 6-1</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 xml:space="preserve">Examiner le programme directeur des articles ARM100 et ARM200 (menu </w:t>
            </w:r>
            <w:r w:rsidRPr="00F60D1B">
              <w:rPr>
                <w:rFonts w:asciiTheme="minorHAnsi" w:hAnsiTheme="minorHAnsi" w:cs="Times New Roman"/>
                <w:b/>
                <w:bCs/>
                <w:color w:val="000000" w:themeColor="text1"/>
                <w:sz w:val="22"/>
                <w:szCs w:val="22"/>
              </w:rPr>
              <w:t>Planification</w:t>
            </w:r>
            <w:r w:rsidRPr="00F60D1B">
              <w:rPr>
                <w:rFonts w:asciiTheme="minorHAnsi" w:hAnsiTheme="minorHAnsi" w:cs="Times New Roman"/>
                <w:color w:val="000000" w:themeColor="text1"/>
                <w:sz w:val="22"/>
                <w:szCs w:val="22"/>
              </w:rPr>
              <w:t xml:space="preserve">, option </w:t>
            </w:r>
            <w:r w:rsidRPr="00F60D1B">
              <w:rPr>
                <w:rFonts w:asciiTheme="minorHAnsi" w:hAnsiTheme="minorHAnsi" w:cs="Times New Roman"/>
                <w:b/>
                <w:bCs/>
                <w:color w:val="000000" w:themeColor="text1"/>
                <w:sz w:val="22"/>
                <w:szCs w:val="22"/>
              </w:rPr>
              <w:t>Programme directeur</w:t>
            </w:r>
            <w:r w:rsidRPr="00F60D1B">
              <w:rPr>
                <w:rFonts w:asciiTheme="minorHAnsi" w:hAnsiTheme="minorHAnsi" w:cs="Times New Roman"/>
                <w:color w:val="000000" w:themeColor="text1"/>
                <w:sz w:val="22"/>
                <w:szCs w:val="22"/>
              </w:rPr>
              <w:t>).</w:t>
            </w:r>
          </w:p>
        </w:tc>
      </w:tr>
      <w:tr w:rsidR="00F60D1B" w:rsidRPr="00F60D1B" w:rsidTr="00E13138">
        <w:tblPrEx>
          <w:tblCellMar>
            <w:top w:w="0" w:type="dxa"/>
            <w:bottom w:w="0" w:type="dxa"/>
          </w:tblCellMar>
        </w:tblPrEx>
        <w:trPr>
          <w:trHeight w:val="359"/>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6-1</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Ces programmes sont les objectifs de production à atteindre. L’origine des besoins permet de voir à partir de quels besoins un ordre a été généré.</w:t>
            </w:r>
          </w:p>
        </w:tc>
      </w:tr>
      <w:tr w:rsidR="00F60D1B" w:rsidRPr="00F60D1B" w:rsidTr="00E13138">
        <w:tblPrEx>
          <w:tblCellMar>
            <w:top w:w="0" w:type="dxa"/>
            <w:bottom w:w="0" w:type="dxa"/>
          </w:tblCellMar>
        </w:tblPrEx>
        <w:trPr>
          <w:trHeight w:val="755"/>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6-2</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 xml:space="preserve">Visualiser la longueur du cycle d'approvisionnement et de production des produits finis ARM100 et ARM200, via la fenêtre </w:t>
            </w:r>
            <w:r w:rsidRPr="00F60D1B">
              <w:rPr>
                <w:rFonts w:asciiTheme="minorHAnsi" w:hAnsiTheme="minorHAnsi" w:cs="Times New Roman"/>
                <w:b/>
                <w:bCs/>
                <w:color w:val="000000" w:themeColor="text1"/>
                <w:sz w:val="22"/>
                <w:szCs w:val="22"/>
              </w:rPr>
              <w:t xml:space="preserve">Gestion des articles </w:t>
            </w:r>
            <w:r w:rsidRPr="00F60D1B">
              <w:rPr>
                <w:rFonts w:asciiTheme="minorHAnsi" w:hAnsiTheme="minorHAnsi" w:cs="Times New Roman"/>
                <w:color w:val="000000" w:themeColor="text1"/>
                <w:sz w:val="22"/>
                <w:szCs w:val="22"/>
              </w:rPr>
              <w:t xml:space="preserve">et la fenêtre de représentation de ces cycles obtenue par les boutons </w:t>
            </w:r>
            <w:r w:rsidRPr="00F60D1B">
              <w:rPr>
                <w:rFonts w:asciiTheme="minorHAnsi" w:hAnsiTheme="minorHAnsi" w:cs="Times New Roman"/>
                <w:b/>
                <w:bCs/>
                <w:color w:val="000000" w:themeColor="text1"/>
                <w:sz w:val="22"/>
                <w:szCs w:val="22"/>
              </w:rPr>
              <w:t>N</w:t>
            </w:r>
            <w:r w:rsidRPr="00F60D1B">
              <w:rPr>
                <w:rFonts w:asciiTheme="minorHAnsi" w:hAnsiTheme="minorHAnsi" w:cs="Times New Roman"/>
                <w:b/>
                <w:bCs/>
                <w:color w:val="000000" w:themeColor="text1"/>
                <w:sz w:val="18"/>
                <w:szCs w:val="18"/>
              </w:rPr>
              <w:t xml:space="preserve">OMENCLATURES </w:t>
            </w:r>
            <w:r w:rsidRPr="00F60D1B">
              <w:rPr>
                <w:rFonts w:asciiTheme="minorHAnsi" w:hAnsiTheme="minorHAnsi" w:cs="Times New Roman"/>
                <w:color w:val="000000" w:themeColor="text1"/>
                <w:sz w:val="22"/>
                <w:szCs w:val="22"/>
              </w:rPr>
              <w:t xml:space="preserve">et </w:t>
            </w:r>
            <w:r w:rsidRPr="00F60D1B">
              <w:rPr>
                <w:rFonts w:asciiTheme="minorHAnsi" w:hAnsiTheme="minorHAnsi" w:cs="Times New Roman"/>
                <w:b/>
                <w:bCs/>
                <w:color w:val="000000" w:themeColor="text1"/>
                <w:sz w:val="22"/>
                <w:szCs w:val="22"/>
              </w:rPr>
              <w:t>D</w:t>
            </w:r>
            <w:r w:rsidRPr="00F60D1B">
              <w:rPr>
                <w:rFonts w:asciiTheme="minorHAnsi" w:hAnsiTheme="minorHAnsi" w:cs="Times New Roman"/>
                <w:b/>
                <w:bCs/>
                <w:color w:val="000000" w:themeColor="text1"/>
                <w:sz w:val="18"/>
                <w:szCs w:val="18"/>
              </w:rPr>
              <w:t>ECALAGES</w:t>
            </w:r>
            <w:r w:rsidRPr="00F60D1B">
              <w:rPr>
                <w:rFonts w:asciiTheme="minorHAnsi" w:hAnsiTheme="minorHAnsi" w:cs="Times New Roman"/>
                <w:color w:val="000000" w:themeColor="text1"/>
                <w:sz w:val="22"/>
                <w:szCs w:val="22"/>
              </w:rPr>
              <w:t>. De manière approximative, quels sont les délais d'approvisionnement pour ces articles et quels sont les délais de production ?</w:t>
            </w:r>
          </w:p>
        </w:tc>
      </w:tr>
      <w:tr w:rsidR="00F60D1B" w:rsidRPr="00F60D1B" w:rsidTr="00E13138">
        <w:tblPrEx>
          <w:tblCellMar>
            <w:top w:w="0" w:type="dxa"/>
            <w:bottom w:w="0" w:type="dxa"/>
          </w:tblCellMar>
        </w:tblPrEx>
        <w:trPr>
          <w:trHeight w:val="359"/>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6-2</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Les délais d'approvisionnement critiques sont de 10 jours, ce qui laisse un délai de production critique de 9 jours, pour conduire à un cycle total de 19 jours.</w:t>
            </w:r>
          </w:p>
        </w:tc>
      </w:tr>
      <w:tr w:rsidR="00F60D1B" w:rsidRPr="00F60D1B" w:rsidTr="00E13138">
        <w:tblPrEx>
          <w:tblCellMar>
            <w:top w:w="0" w:type="dxa"/>
            <w:bottom w:w="0" w:type="dxa"/>
          </w:tblCellMar>
        </w:tblPrEx>
        <w:trPr>
          <w:trHeight w:val="359"/>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6-3</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A ce niveau, quel est le lien entre le cycle de production calculé dans les fenêtres de nomenclature et temps opératoires spécifiés dans les gammes ?</w:t>
            </w:r>
          </w:p>
        </w:tc>
      </w:tr>
      <w:tr w:rsidR="00F60D1B" w:rsidRPr="00F60D1B" w:rsidTr="00E13138">
        <w:tblPrEx>
          <w:tblCellMar>
            <w:top w:w="0" w:type="dxa"/>
            <w:bottom w:w="0" w:type="dxa"/>
          </w:tblCellMar>
        </w:tblPrEx>
        <w:trPr>
          <w:trHeight w:val="230"/>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6-3</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Au niveau d’utilisation élémentaire, Prélude ne teste pas la cohérence de ces données.</w:t>
            </w:r>
          </w:p>
        </w:tc>
      </w:tr>
      <w:tr w:rsidR="00F60D1B" w:rsidRPr="00F60D1B" w:rsidTr="00E13138">
        <w:tblPrEx>
          <w:tblCellMar>
            <w:top w:w="0" w:type="dxa"/>
            <w:bottom w:w="0" w:type="dxa"/>
          </w:tblCellMar>
        </w:tblPrEx>
        <w:trPr>
          <w:trHeight w:val="750"/>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6-4</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 xml:space="preserve">Examiner les ordres suggérés pour ARM100, via </w:t>
            </w:r>
            <w:r w:rsidRPr="00F60D1B">
              <w:rPr>
                <w:rFonts w:asciiTheme="minorHAnsi" w:hAnsiTheme="minorHAnsi" w:cs="Times New Roman"/>
                <w:b/>
                <w:bCs/>
                <w:color w:val="000000" w:themeColor="text1"/>
                <w:sz w:val="22"/>
                <w:szCs w:val="22"/>
              </w:rPr>
              <w:t xml:space="preserve">Liste des OF suggérés </w:t>
            </w:r>
            <w:r w:rsidRPr="00F60D1B">
              <w:rPr>
                <w:rFonts w:asciiTheme="minorHAnsi" w:hAnsiTheme="minorHAnsi" w:cs="Times New Roman"/>
                <w:color w:val="000000" w:themeColor="text1"/>
                <w:sz w:val="22"/>
                <w:szCs w:val="22"/>
              </w:rPr>
              <w:t xml:space="preserve">du menu </w:t>
            </w:r>
            <w:r w:rsidRPr="00F60D1B">
              <w:rPr>
                <w:rFonts w:asciiTheme="minorHAnsi" w:hAnsiTheme="minorHAnsi" w:cs="Times New Roman"/>
                <w:b/>
                <w:bCs/>
                <w:color w:val="000000" w:themeColor="text1"/>
                <w:sz w:val="22"/>
                <w:szCs w:val="22"/>
              </w:rPr>
              <w:t xml:space="preserve">Planification </w:t>
            </w:r>
            <w:r w:rsidRPr="00F60D1B">
              <w:rPr>
                <w:rFonts w:asciiTheme="minorHAnsi" w:hAnsiTheme="minorHAnsi" w:cs="Times New Roman"/>
                <w:color w:val="000000" w:themeColor="text1"/>
                <w:sz w:val="22"/>
                <w:szCs w:val="22"/>
              </w:rPr>
              <w:t>en cliquant deux fois sur ces ordres. Comment ont été calculés la date de besoin, la date de lancement, le délai et le cycle ? Visualiser les besoins en composants dans le bas de la fenêtre. Quelle est la gamme utilisée pour évaluer les délais de fabrication ?</w:t>
            </w:r>
          </w:p>
        </w:tc>
      </w:tr>
      <w:tr w:rsidR="00F60D1B" w:rsidRPr="00F60D1B" w:rsidTr="00E13138">
        <w:tblPrEx>
          <w:tblCellMar>
            <w:top w:w="0" w:type="dxa"/>
            <w:bottom w:w="0" w:type="dxa"/>
          </w:tblCellMar>
        </w:tblPrEx>
        <w:trPr>
          <w:trHeight w:val="491"/>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6-4</w:t>
            </w: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 xml:space="preserve">Les dates ont été évaluées suivant la théorie classique MRP à partir du délai d’obtention qui est fixé par l'utilisateur dans la fiche </w:t>
            </w:r>
            <w:r w:rsidRPr="00F60D1B">
              <w:rPr>
                <w:rFonts w:asciiTheme="minorHAnsi" w:hAnsiTheme="minorHAnsi" w:cs="Times New Roman"/>
                <w:b/>
                <w:bCs/>
                <w:color w:val="000000" w:themeColor="text1"/>
                <w:sz w:val="22"/>
                <w:szCs w:val="22"/>
              </w:rPr>
              <w:t>Article</w:t>
            </w:r>
            <w:r w:rsidRPr="00F60D1B">
              <w:rPr>
                <w:rFonts w:asciiTheme="minorHAnsi" w:hAnsiTheme="minorHAnsi" w:cs="Times New Roman"/>
                <w:color w:val="000000" w:themeColor="text1"/>
                <w:sz w:val="22"/>
                <w:szCs w:val="22"/>
              </w:rPr>
              <w:t>. Le cycle de fabrication est évalué à l'aide de la gamme de lancement : AR.</w:t>
            </w:r>
          </w:p>
        </w:tc>
      </w:tr>
      <w:tr w:rsidR="00F60D1B" w:rsidRPr="00F60D1B" w:rsidTr="00E13138">
        <w:tblPrEx>
          <w:tblCellMar>
            <w:top w:w="0" w:type="dxa"/>
            <w:bottom w:w="0" w:type="dxa"/>
          </w:tblCellMar>
        </w:tblPrEx>
        <w:trPr>
          <w:trHeight w:val="105"/>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QUESTION 6-5</w:t>
            </w:r>
          </w:p>
        </w:tc>
        <w:tc>
          <w:tcPr>
            <w:tcW w:w="3943"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Qu'</w:t>
            </w:r>
            <w:proofErr w:type="spellStart"/>
            <w:r w:rsidRPr="00F60D1B">
              <w:rPr>
                <w:rFonts w:asciiTheme="minorHAnsi" w:hAnsiTheme="minorHAnsi" w:cs="Times New Roman"/>
                <w:color w:val="000000" w:themeColor="text1"/>
                <w:sz w:val="22"/>
                <w:szCs w:val="22"/>
              </w:rPr>
              <w:t>est ce</w:t>
            </w:r>
            <w:proofErr w:type="spellEnd"/>
            <w:r w:rsidRPr="00F60D1B">
              <w:rPr>
                <w:rFonts w:asciiTheme="minorHAnsi" w:hAnsiTheme="minorHAnsi" w:cs="Times New Roman"/>
                <w:color w:val="000000" w:themeColor="text1"/>
                <w:sz w:val="22"/>
                <w:szCs w:val="22"/>
              </w:rPr>
              <w:t xml:space="preserve"> que le jalonnement ?</w:t>
            </w:r>
          </w:p>
        </w:tc>
      </w:tr>
      <w:tr w:rsidR="00F60D1B" w:rsidRPr="00F60D1B" w:rsidTr="00E13138">
        <w:tblPrEx>
          <w:tblCellMar>
            <w:top w:w="0" w:type="dxa"/>
            <w:bottom w:w="0" w:type="dxa"/>
          </w:tblCellMar>
        </w:tblPrEx>
        <w:trPr>
          <w:trHeight w:val="877"/>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REPONSE 6-5</w:t>
            </w:r>
          </w:p>
        </w:tc>
        <w:tc>
          <w:tcPr>
            <w:tcW w:w="3943"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Le jalonnement des ordres de fabrication à capacité infinie consiste à calculer les dates de réalisation possibles des opérations (en les supposant indépendante</w:t>
            </w:r>
            <w:r w:rsidRPr="00F60D1B">
              <w:rPr>
                <w:rFonts w:asciiTheme="minorHAnsi" w:hAnsiTheme="minorHAnsi" w:cs="Times New Roman"/>
                <w:color w:val="000000" w:themeColor="text1"/>
                <w:sz w:val="22"/>
                <w:szCs w:val="22"/>
              </w:rPr>
              <w:t>s) à partir de leur durée</w:t>
            </w:r>
          </w:p>
          <w:p w:rsidR="000B4B93" w:rsidRPr="00F60D1B" w:rsidRDefault="000B4B93"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trHeight w:val="813"/>
        </w:trPr>
        <w:tc>
          <w:tcPr>
            <w:tcW w:w="3942" w:type="dxa"/>
            <w:gridSpan w:val="2"/>
          </w:tcPr>
          <w:p w:rsidR="000B4B93" w:rsidRPr="00F60D1B" w:rsidRDefault="000B4B93" w:rsidP="00E13138">
            <w:pPr>
              <w:pStyle w:val="Default"/>
              <w:jc w:val="both"/>
              <w:rPr>
                <w:rFonts w:asciiTheme="minorHAnsi" w:hAnsiTheme="minorHAnsi" w:cs="Times New Roman"/>
                <w:color w:val="000000" w:themeColor="text1"/>
                <w:sz w:val="22"/>
                <w:szCs w:val="22"/>
              </w:rPr>
            </w:pPr>
          </w:p>
        </w:tc>
        <w:tc>
          <w:tcPr>
            <w:tcW w:w="3943" w:type="dxa"/>
            <w:gridSpan w:val="2"/>
          </w:tcPr>
          <w:p w:rsidR="000B4B93" w:rsidRPr="00F60D1B" w:rsidRDefault="000B4B93" w:rsidP="00E13138">
            <w:pPr>
              <w:pStyle w:val="Default"/>
              <w:jc w:val="both"/>
              <w:rPr>
                <w:rFonts w:asciiTheme="minorHAnsi" w:hAnsiTheme="minorHAnsi"/>
                <w:color w:val="000000" w:themeColor="text1"/>
                <w:sz w:val="22"/>
                <w:szCs w:val="22"/>
              </w:rPr>
            </w:pPr>
          </w:p>
          <w:p w:rsidR="000B4B93" w:rsidRPr="00F60D1B" w:rsidRDefault="000B4B93" w:rsidP="00E13138">
            <w:pPr>
              <w:pStyle w:val="Default"/>
              <w:jc w:val="both"/>
              <w:rPr>
                <w:rFonts w:asciiTheme="minorHAnsi" w:hAnsiTheme="minorHAnsi" w:cs="Times New Roman"/>
                <w:color w:val="000000" w:themeColor="text1"/>
                <w:sz w:val="22"/>
                <w:szCs w:val="22"/>
              </w:rPr>
            </w:pPr>
          </w:p>
          <w:p w:rsidR="00CC2C14" w:rsidRPr="00F60D1B" w:rsidRDefault="00CC2C14" w:rsidP="00E13138">
            <w:pPr>
              <w:pStyle w:val="Default"/>
              <w:jc w:val="both"/>
              <w:rPr>
                <w:rFonts w:asciiTheme="minorHAnsi" w:hAnsiTheme="minorHAnsi" w:cs="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834"/>
              <w:gridCol w:w="3835"/>
            </w:tblGrid>
            <w:tr w:rsidR="00F60D1B" w:rsidRPr="00F60D1B">
              <w:tblPrEx>
                <w:tblCellMar>
                  <w:top w:w="0" w:type="dxa"/>
                  <w:bottom w:w="0" w:type="dxa"/>
                </w:tblCellMar>
              </w:tblPrEx>
              <w:trPr>
                <w:trHeight w:val="102"/>
              </w:trPr>
              <w:tc>
                <w:tcPr>
                  <w:tcW w:w="3834" w:type="dxa"/>
                </w:tcPr>
                <w:p w:rsidR="00CC2C14" w:rsidRPr="00F60D1B" w:rsidRDefault="00CC2C14" w:rsidP="00E13138">
                  <w:pPr>
                    <w:pStyle w:val="Default"/>
                    <w:jc w:val="both"/>
                    <w:rPr>
                      <w:rFonts w:asciiTheme="minorHAnsi" w:hAnsiTheme="minorHAnsi" w:cs="Times New Roman"/>
                      <w:color w:val="000000" w:themeColor="text1"/>
                      <w:sz w:val="22"/>
                      <w:szCs w:val="22"/>
                    </w:rPr>
                  </w:pPr>
                </w:p>
              </w:tc>
              <w:tc>
                <w:tcPr>
                  <w:tcW w:w="3834" w:type="dxa"/>
                </w:tcPr>
                <w:p w:rsidR="00CC2C14" w:rsidRPr="00F60D1B" w:rsidRDefault="00CC2C14" w:rsidP="00E13138">
                  <w:pPr>
                    <w:pStyle w:val="Default"/>
                    <w:jc w:val="both"/>
                    <w:rPr>
                      <w:rFonts w:asciiTheme="minorHAnsi" w:hAnsiTheme="minorHAnsi"/>
                      <w:color w:val="000000" w:themeColor="text1"/>
                      <w:sz w:val="22"/>
                      <w:szCs w:val="22"/>
                    </w:rPr>
                  </w:pPr>
                  <w:r w:rsidRPr="00F60D1B">
                    <w:rPr>
                      <w:rFonts w:asciiTheme="minorHAnsi" w:hAnsiTheme="minorHAnsi" w:cs="Times New Roman"/>
                      <w:color w:val="000000" w:themeColor="text1"/>
                      <w:sz w:val="22"/>
                      <w:szCs w:val="22"/>
                    </w:rPr>
                    <w:t>Expliquer la notion d'</w:t>
                  </w:r>
                  <w:r w:rsidRPr="00F60D1B">
                    <w:rPr>
                      <w:rFonts w:asciiTheme="minorHAnsi" w:hAnsiTheme="minorHAnsi" w:cs="Times New Roman"/>
                      <w:b/>
                      <w:bCs/>
                      <w:color w:val="000000" w:themeColor="text1"/>
                      <w:sz w:val="22"/>
                      <w:szCs w:val="22"/>
                    </w:rPr>
                    <w:t>affermissement</w:t>
                  </w:r>
                  <w:r w:rsidRPr="00F60D1B">
                    <w:rPr>
                      <w:rFonts w:asciiTheme="minorHAnsi" w:hAnsiTheme="minorHAnsi" w:cs="Times New Roman"/>
                      <w:color w:val="000000" w:themeColor="text1"/>
                      <w:sz w:val="22"/>
                      <w:szCs w:val="22"/>
                    </w:rPr>
                    <w:t>.</w:t>
                  </w:r>
                </w:p>
              </w:tc>
            </w:tr>
            <w:tr w:rsidR="00F60D1B" w:rsidRPr="00F60D1B">
              <w:tblPrEx>
                <w:tblCellMar>
                  <w:top w:w="0" w:type="dxa"/>
                  <w:bottom w:w="0" w:type="dxa"/>
                </w:tblCellMar>
              </w:tblPrEx>
              <w:trPr>
                <w:trHeight w:val="489"/>
              </w:trPr>
              <w:tc>
                <w:tcPr>
                  <w:tcW w:w="7669" w:type="dxa"/>
                  <w:gridSpan w:val="2"/>
                </w:tcPr>
                <w:p w:rsidR="00CC2C14" w:rsidRPr="00F60D1B" w:rsidRDefault="00CC2C14" w:rsidP="00E13138">
                  <w:pPr>
                    <w:pStyle w:val="Default"/>
                    <w:jc w:val="both"/>
                    <w:rPr>
                      <w:rFonts w:asciiTheme="minorHAnsi" w:hAnsiTheme="minorHAnsi"/>
                      <w:color w:val="000000" w:themeColor="text1"/>
                      <w:sz w:val="22"/>
                      <w:szCs w:val="22"/>
                    </w:rPr>
                  </w:pPr>
                </w:p>
              </w:tc>
            </w:tr>
          </w:tbl>
          <w:p w:rsidR="00CC2C14" w:rsidRPr="00F60D1B" w:rsidRDefault="00CC2C14" w:rsidP="00E13138">
            <w:pPr>
              <w:pStyle w:val="Default"/>
              <w:jc w:val="both"/>
              <w:rPr>
                <w:rFonts w:asciiTheme="minorHAnsi" w:hAnsiTheme="minorHAnsi" w:cs="Times New Roman"/>
                <w:color w:val="000000" w:themeColor="text1"/>
                <w:sz w:val="22"/>
                <w:szCs w:val="22"/>
              </w:rPr>
            </w:pPr>
          </w:p>
          <w:p w:rsidR="00CC2C14" w:rsidRPr="00F60D1B" w:rsidRDefault="00CC2C14" w:rsidP="00E13138">
            <w:pPr>
              <w:pStyle w:val="Default"/>
              <w:jc w:val="both"/>
              <w:rPr>
                <w:rFonts w:asciiTheme="minorHAnsi" w:hAnsiTheme="minorHAnsi"/>
                <w:color w:val="000000" w:themeColor="text1"/>
                <w:sz w:val="22"/>
                <w:szCs w:val="22"/>
              </w:rPr>
            </w:pPr>
          </w:p>
        </w:tc>
      </w:tr>
      <w:tr w:rsidR="00F60D1B" w:rsidRPr="00F60D1B" w:rsidTr="00E13138">
        <w:tblPrEx>
          <w:tblCellMar>
            <w:top w:w="0" w:type="dxa"/>
            <w:bottom w:w="0" w:type="dxa"/>
          </w:tblCellMar>
        </w:tblPrEx>
        <w:trPr>
          <w:gridAfter w:val="1"/>
          <w:wAfter w:w="216" w:type="dxa"/>
          <w:trHeight w:val="102"/>
        </w:trPr>
        <w:tc>
          <w:tcPr>
            <w:tcW w:w="3834" w:type="dxa"/>
          </w:tcPr>
          <w:p w:rsidR="00CC2C14" w:rsidRPr="00F60D1B" w:rsidRDefault="00CC2C14" w:rsidP="00E13138">
            <w:pPr>
              <w:pStyle w:val="Default"/>
              <w:jc w:val="both"/>
              <w:rPr>
                <w:rFonts w:asciiTheme="minorHAnsi" w:hAnsiTheme="minorHAnsi"/>
                <w:b/>
                <w:bCs/>
                <w:color w:val="000000" w:themeColor="text1"/>
                <w:sz w:val="28"/>
                <w:szCs w:val="28"/>
              </w:rPr>
            </w:pPr>
            <w:r w:rsidRPr="00F60D1B">
              <w:rPr>
                <w:rFonts w:asciiTheme="minorHAnsi" w:hAnsiTheme="minorHAnsi"/>
                <w:b/>
                <w:bCs/>
                <w:color w:val="000000" w:themeColor="text1"/>
                <w:sz w:val="28"/>
                <w:szCs w:val="28"/>
              </w:rPr>
              <w:t>Session 8 : Ordonnancement</w:t>
            </w:r>
          </w:p>
          <w:p w:rsidR="00CC2C14" w:rsidRPr="00F60D1B" w:rsidRDefault="00CC2C14"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b/>
                <w:bCs/>
                <w:i/>
                <w:iCs/>
                <w:color w:val="000000" w:themeColor="text1"/>
                <w:sz w:val="22"/>
                <w:szCs w:val="22"/>
              </w:rPr>
              <w:t xml:space="preserve">QUESTION 8-1 </w:t>
            </w:r>
            <w:r w:rsidRPr="00F60D1B">
              <w:rPr>
                <w:rFonts w:asciiTheme="minorHAnsi" w:hAnsiTheme="minorHAnsi" w:cs="Times New Roman"/>
                <w:b/>
                <w:bCs/>
                <w:i/>
                <w:iCs/>
                <w:color w:val="000000" w:themeColor="text1"/>
                <w:sz w:val="22"/>
                <w:szCs w:val="22"/>
              </w:rPr>
              <w:t>Expliquer la notion d'affermissement.</w:t>
            </w:r>
          </w:p>
        </w:tc>
        <w:tc>
          <w:tcPr>
            <w:tcW w:w="3835" w:type="dxa"/>
            <w:gridSpan w:val="2"/>
          </w:tcPr>
          <w:p w:rsidR="00CC2C14" w:rsidRPr="00F60D1B" w:rsidRDefault="00CC2C14" w:rsidP="00E13138">
            <w:pPr>
              <w:pStyle w:val="Default"/>
              <w:jc w:val="both"/>
              <w:rPr>
                <w:rFonts w:asciiTheme="minorHAnsi" w:hAnsiTheme="minorHAnsi"/>
                <w:color w:val="000000" w:themeColor="text1"/>
                <w:sz w:val="22"/>
                <w:szCs w:val="22"/>
              </w:rPr>
            </w:pPr>
          </w:p>
        </w:tc>
      </w:tr>
      <w:tr w:rsidR="00E13138" w:rsidRPr="00F60D1B" w:rsidTr="00E13138">
        <w:tblPrEx>
          <w:tblCellMar>
            <w:top w:w="0" w:type="dxa"/>
            <w:bottom w:w="0" w:type="dxa"/>
          </w:tblCellMar>
        </w:tblPrEx>
        <w:trPr>
          <w:gridAfter w:val="1"/>
          <w:wAfter w:w="216" w:type="dxa"/>
          <w:trHeight w:val="102"/>
        </w:trPr>
        <w:tc>
          <w:tcPr>
            <w:tcW w:w="3834" w:type="dxa"/>
          </w:tcPr>
          <w:p w:rsidR="00CC2C14" w:rsidRPr="00F60D1B" w:rsidRDefault="00CC2C14" w:rsidP="00E13138">
            <w:pPr>
              <w:pStyle w:val="Default"/>
              <w:jc w:val="both"/>
              <w:rPr>
                <w:rFonts w:asciiTheme="minorHAnsi" w:hAnsiTheme="minorHAnsi"/>
                <w:b/>
                <w:bCs/>
                <w:color w:val="000000" w:themeColor="text1"/>
                <w:sz w:val="28"/>
                <w:szCs w:val="28"/>
              </w:rPr>
            </w:pPr>
          </w:p>
        </w:tc>
        <w:tc>
          <w:tcPr>
            <w:tcW w:w="3835" w:type="dxa"/>
            <w:gridSpan w:val="2"/>
          </w:tcPr>
          <w:p w:rsidR="00CC2C14" w:rsidRPr="00F60D1B" w:rsidRDefault="00CC2C14" w:rsidP="00E13138">
            <w:pPr>
              <w:pStyle w:val="Default"/>
              <w:jc w:val="both"/>
              <w:rPr>
                <w:rFonts w:asciiTheme="minorHAnsi" w:hAnsiTheme="minorHAnsi" w:cs="Times New Roman"/>
                <w:color w:val="000000" w:themeColor="text1"/>
                <w:sz w:val="22"/>
                <w:szCs w:val="22"/>
              </w:rPr>
            </w:pPr>
          </w:p>
        </w:tc>
      </w:tr>
      <w:tr w:rsidR="00F60D1B" w:rsidRPr="00F60D1B" w:rsidTr="00E13138">
        <w:tblPrEx>
          <w:tblCellMar>
            <w:top w:w="0" w:type="dxa"/>
            <w:bottom w:w="0" w:type="dxa"/>
          </w:tblCellMar>
        </w:tblPrEx>
        <w:trPr>
          <w:gridAfter w:val="1"/>
          <w:wAfter w:w="216" w:type="dxa"/>
          <w:trHeight w:val="489"/>
        </w:trPr>
        <w:tc>
          <w:tcPr>
            <w:tcW w:w="7669" w:type="dxa"/>
            <w:gridSpan w:val="3"/>
          </w:tcPr>
          <w:p w:rsidR="00CC2C14" w:rsidRPr="00F60D1B" w:rsidRDefault="00CC2C14"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 xml:space="preserve">L’affermissement transforme les statuts des OF de telle sorte qu’ils ne soient pas supprimés lors du prochain calcul des besoins. Ils permettent ainsi d’obtenir une </w:t>
            </w:r>
            <w:proofErr w:type="spellStart"/>
            <w:r w:rsidRPr="00F60D1B">
              <w:rPr>
                <w:rFonts w:asciiTheme="minorHAnsi" w:hAnsiTheme="minorHAnsi" w:cs="Times New Roman"/>
                <w:color w:val="000000" w:themeColor="text1"/>
                <w:sz w:val="22"/>
                <w:szCs w:val="22"/>
              </w:rPr>
              <w:t>certains</w:t>
            </w:r>
            <w:proofErr w:type="spellEnd"/>
            <w:r w:rsidRPr="00F60D1B">
              <w:rPr>
                <w:rFonts w:asciiTheme="minorHAnsi" w:hAnsiTheme="minorHAnsi" w:cs="Times New Roman"/>
                <w:color w:val="000000" w:themeColor="text1"/>
                <w:sz w:val="22"/>
                <w:szCs w:val="22"/>
              </w:rPr>
              <w:t xml:space="preserve"> stabilité du programme de fabrication.</w:t>
            </w:r>
          </w:p>
          <w:p w:rsidR="00661504" w:rsidRPr="00F60D1B" w:rsidRDefault="00661504" w:rsidP="00E13138">
            <w:pPr>
              <w:pStyle w:val="Default"/>
              <w:jc w:val="both"/>
              <w:rPr>
                <w:rFonts w:asciiTheme="minorHAnsi" w:hAnsiTheme="minorHAnsi" w:cs="Times New Roman"/>
                <w:color w:val="000000" w:themeColor="text1"/>
                <w:sz w:val="22"/>
                <w:szCs w:val="22"/>
              </w:rPr>
            </w:pPr>
          </w:p>
          <w:p w:rsidR="00661504" w:rsidRPr="00F60D1B" w:rsidRDefault="00661504"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QUESTION 8-2</w:t>
            </w:r>
          </w:p>
          <w:p w:rsidR="00661504" w:rsidRPr="00F60D1B" w:rsidRDefault="00661504" w:rsidP="00E13138">
            <w:pPr>
              <w:pStyle w:val="Default"/>
              <w:jc w:val="both"/>
              <w:rPr>
                <w:rFonts w:asciiTheme="minorHAnsi" w:hAnsiTheme="minorHAnsi" w:cs="Times New Roman"/>
                <w:color w:val="000000" w:themeColor="text1"/>
                <w:sz w:val="22"/>
                <w:szCs w:val="22"/>
              </w:rPr>
            </w:pPr>
          </w:p>
          <w:p w:rsidR="00661504" w:rsidRPr="00F60D1B" w:rsidRDefault="00661504"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 xml:space="preserve">Les opérations sur les machines sont créées automatiquement à partir des gammes de lancement pour tous les ordres lors de leur affermissement à partir de l'ordre suggéré correspondant. Visualiser les informations concernant le premier (en date) ordre ferme de fabrication de PANLAT, via la fonction Ordre de fabrication ferme (menu </w:t>
            </w:r>
            <w:r w:rsidRPr="00F60D1B">
              <w:rPr>
                <w:rFonts w:asciiTheme="minorHAnsi" w:hAnsiTheme="minorHAnsi" w:cs="Times New Roman"/>
                <w:color w:val="000000" w:themeColor="text1"/>
                <w:sz w:val="22"/>
                <w:szCs w:val="22"/>
              </w:rPr>
              <w:t>Ordonnancement</w:t>
            </w:r>
            <w:r w:rsidRPr="00F60D1B">
              <w:rPr>
                <w:rFonts w:asciiTheme="minorHAnsi" w:hAnsiTheme="minorHAnsi" w:cs="Times New Roman"/>
                <w:color w:val="000000" w:themeColor="text1"/>
                <w:sz w:val="22"/>
                <w:szCs w:val="22"/>
              </w:rPr>
              <w:t>). Comment ont été calculées les dates de besoin ? Où a été défini le délai ? Qu'est-ce que la date de lancement ? Comment a été calculé le cycle ? Via quelle procédure ont été calculées les dates de début (et de fin) au plus tôt et au plus tard ? Comment le temps de transfert est-il pris en compte ?</w:t>
            </w:r>
          </w:p>
          <w:p w:rsidR="00661504" w:rsidRPr="00F60D1B" w:rsidRDefault="00661504" w:rsidP="00E13138">
            <w:pPr>
              <w:pStyle w:val="Default"/>
              <w:jc w:val="both"/>
              <w:rPr>
                <w:rFonts w:asciiTheme="minorHAnsi" w:hAnsiTheme="minorHAnsi" w:cs="Times New Roman"/>
                <w:color w:val="000000" w:themeColor="text1"/>
                <w:sz w:val="22"/>
                <w:szCs w:val="22"/>
              </w:rPr>
            </w:pPr>
          </w:p>
          <w:p w:rsidR="00661504" w:rsidRPr="00F60D1B" w:rsidRDefault="00661504"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REPONSE 8-2</w:t>
            </w:r>
          </w:p>
          <w:p w:rsidR="00661504" w:rsidRPr="00F60D1B" w:rsidRDefault="00661504" w:rsidP="00E13138">
            <w:pPr>
              <w:pStyle w:val="Default"/>
              <w:jc w:val="both"/>
              <w:rPr>
                <w:rFonts w:asciiTheme="minorHAnsi" w:hAnsiTheme="minorHAnsi" w:cs="Times New Roman"/>
                <w:color w:val="000000" w:themeColor="text1"/>
                <w:sz w:val="22"/>
                <w:szCs w:val="22"/>
              </w:rPr>
            </w:pPr>
          </w:p>
          <w:p w:rsidR="00F60D1B" w:rsidRPr="00F60D1B" w:rsidRDefault="00661504"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Toutes les dates ont été évaluées selon la procédure classique MRP</w:t>
            </w:r>
            <w:r w:rsidR="00F60D1B" w:rsidRPr="00F60D1B">
              <w:rPr>
                <w:rFonts w:asciiTheme="minorHAnsi" w:hAnsiTheme="minorHAnsi" w:cs="Times New Roman"/>
                <w:color w:val="000000" w:themeColor="text1"/>
                <w:sz w:val="22"/>
                <w:szCs w:val="22"/>
              </w:rPr>
              <w:t>QUESTION 8-6</w:t>
            </w: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Quel est l'impact d'une avance d'un OF par rapport à la date de besoin sur l'organisation de la production ?</w:t>
            </w:r>
          </w:p>
          <w:p w:rsidR="00F60D1B" w:rsidRPr="00F60D1B" w:rsidRDefault="00F60D1B" w:rsidP="00E13138">
            <w:pPr>
              <w:pStyle w:val="Default"/>
              <w:jc w:val="both"/>
              <w:rPr>
                <w:rFonts w:asciiTheme="minorHAnsi" w:hAnsiTheme="minorHAnsi" w:cs="Times New Roman"/>
                <w:color w:val="000000" w:themeColor="text1"/>
                <w:sz w:val="22"/>
                <w:szCs w:val="22"/>
              </w:rPr>
            </w:pP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REPONSE 8-6</w:t>
            </w:r>
          </w:p>
          <w:p w:rsidR="00661504"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A des stocks.</w:t>
            </w:r>
          </w:p>
          <w:p w:rsidR="00F60D1B" w:rsidRPr="00F60D1B" w:rsidRDefault="00F60D1B" w:rsidP="00E13138">
            <w:pPr>
              <w:pStyle w:val="Default"/>
              <w:jc w:val="both"/>
              <w:rPr>
                <w:rFonts w:asciiTheme="minorHAnsi" w:hAnsiTheme="minorHAnsi" w:cs="Times New Roman"/>
                <w:color w:val="000000" w:themeColor="text1"/>
                <w:sz w:val="22"/>
                <w:szCs w:val="22"/>
              </w:rPr>
            </w:pP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Session 9 : Lancement et suivi de fabrication</w:t>
            </w:r>
          </w:p>
          <w:p w:rsidR="00F60D1B" w:rsidRPr="00F60D1B" w:rsidRDefault="00F60D1B" w:rsidP="00E13138">
            <w:pPr>
              <w:pStyle w:val="Default"/>
              <w:jc w:val="both"/>
              <w:rPr>
                <w:rFonts w:asciiTheme="minorHAnsi" w:hAnsiTheme="minorHAnsi" w:cs="Times New Roman"/>
                <w:color w:val="000000" w:themeColor="text1"/>
                <w:sz w:val="22"/>
                <w:szCs w:val="22"/>
              </w:rPr>
            </w:pP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QUESTION 9-1</w:t>
            </w: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 xml:space="preserve">Examiner la Liste des ordres lancés (menu Suivi) et </w:t>
            </w:r>
            <w:proofErr w:type="spellStart"/>
            <w:r w:rsidRPr="00F60D1B">
              <w:rPr>
                <w:rFonts w:asciiTheme="minorHAnsi" w:hAnsiTheme="minorHAnsi" w:cs="Times New Roman"/>
                <w:color w:val="000000" w:themeColor="text1"/>
                <w:sz w:val="22"/>
                <w:szCs w:val="22"/>
              </w:rPr>
              <w:t>et</w:t>
            </w:r>
            <w:proofErr w:type="spellEnd"/>
            <w:r w:rsidRPr="00F60D1B">
              <w:rPr>
                <w:rFonts w:asciiTheme="minorHAnsi" w:hAnsiTheme="minorHAnsi" w:cs="Times New Roman"/>
                <w:color w:val="000000" w:themeColor="text1"/>
                <w:sz w:val="22"/>
                <w:szCs w:val="22"/>
              </w:rPr>
              <w:t xml:space="preserve"> la Liste des ordres fermes (menu Ordonnancement). Pourquoi certains lancements ont-ils été refusés ?</w:t>
            </w:r>
          </w:p>
          <w:p w:rsidR="00F60D1B" w:rsidRPr="00F60D1B" w:rsidRDefault="00F60D1B" w:rsidP="00E13138">
            <w:pPr>
              <w:pStyle w:val="Default"/>
              <w:jc w:val="both"/>
              <w:rPr>
                <w:rFonts w:asciiTheme="minorHAnsi" w:hAnsiTheme="minorHAnsi" w:cs="Times New Roman"/>
                <w:color w:val="000000" w:themeColor="text1"/>
                <w:sz w:val="22"/>
                <w:szCs w:val="22"/>
              </w:rPr>
            </w:pP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REPONSE 9-1</w:t>
            </w:r>
          </w:p>
          <w:p w:rsidR="00F60D1B" w:rsidRPr="00F60D1B" w:rsidRDefault="00F60D1B" w:rsidP="00E13138">
            <w:pPr>
              <w:pStyle w:val="Default"/>
              <w:jc w:val="both"/>
              <w:rPr>
                <w:rFonts w:asciiTheme="minorHAnsi" w:hAnsiTheme="minorHAnsi" w:cs="Times New Roman"/>
                <w:color w:val="000000" w:themeColor="text1"/>
                <w:sz w:val="22"/>
                <w:szCs w:val="22"/>
              </w:rPr>
            </w:pPr>
            <w:r w:rsidRPr="00F60D1B">
              <w:rPr>
                <w:rFonts w:asciiTheme="minorHAnsi" w:hAnsiTheme="minorHAnsi" w:cs="Times New Roman"/>
                <w:color w:val="000000" w:themeColor="text1"/>
                <w:sz w:val="22"/>
                <w:szCs w:val="22"/>
              </w:rPr>
              <w:t>Parce que les composants nécessaires ne sont pas disponibles</w:t>
            </w:r>
          </w:p>
          <w:p w:rsidR="00F60D1B" w:rsidRPr="00F60D1B" w:rsidRDefault="00F60D1B" w:rsidP="00E13138">
            <w:pPr>
              <w:pStyle w:val="Default"/>
              <w:jc w:val="both"/>
              <w:rPr>
                <w:rFonts w:asciiTheme="minorHAnsi" w:hAnsiTheme="minorHAnsi" w:cs="Times New Roman"/>
                <w:color w:val="000000" w:themeColor="text1"/>
                <w:sz w:val="22"/>
                <w:szCs w:val="22"/>
              </w:rPr>
            </w:pPr>
          </w:p>
          <w:p w:rsidR="00F60D1B" w:rsidRPr="00F60D1B" w:rsidRDefault="00F60D1B" w:rsidP="00E13138">
            <w:pPr>
              <w:pStyle w:val="Default"/>
              <w:jc w:val="both"/>
              <w:rPr>
                <w:rFonts w:asciiTheme="minorHAnsi" w:hAnsiTheme="minorHAnsi" w:cs="Times New Roman"/>
                <w:color w:val="000000" w:themeColor="text1"/>
                <w:sz w:val="22"/>
                <w:szCs w:val="22"/>
              </w:rPr>
            </w:pPr>
          </w:p>
          <w:p w:rsidR="00661504" w:rsidRPr="00F60D1B" w:rsidRDefault="00661504" w:rsidP="00E13138">
            <w:pPr>
              <w:pStyle w:val="Default"/>
              <w:jc w:val="both"/>
              <w:rPr>
                <w:rFonts w:asciiTheme="minorHAnsi" w:hAnsiTheme="minorHAnsi" w:cs="Times New Roman"/>
                <w:color w:val="000000" w:themeColor="text1"/>
                <w:sz w:val="22"/>
                <w:szCs w:val="22"/>
              </w:rPr>
            </w:pPr>
          </w:p>
          <w:p w:rsidR="00661504" w:rsidRPr="00F60D1B" w:rsidRDefault="00661504" w:rsidP="00E13138">
            <w:pPr>
              <w:pStyle w:val="Default"/>
              <w:jc w:val="both"/>
              <w:rPr>
                <w:rFonts w:asciiTheme="minorHAnsi" w:hAnsiTheme="minorHAnsi" w:cs="Times New Roman"/>
                <w:color w:val="000000" w:themeColor="text1"/>
                <w:sz w:val="22"/>
                <w:szCs w:val="22"/>
              </w:rPr>
            </w:pPr>
          </w:p>
          <w:p w:rsidR="00661504" w:rsidRPr="00F60D1B" w:rsidRDefault="00661504" w:rsidP="00E13138">
            <w:pPr>
              <w:pStyle w:val="Default"/>
              <w:jc w:val="both"/>
              <w:rPr>
                <w:rFonts w:asciiTheme="minorHAnsi" w:hAnsiTheme="minorHAnsi"/>
                <w:color w:val="000000" w:themeColor="text1"/>
                <w:sz w:val="22"/>
                <w:szCs w:val="22"/>
              </w:rPr>
            </w:pPr>
          </w:p>
        </w:tc>
        <w:bookmarkStart w:id="0" w:name="_GoBack"/>
        <w:bookmarkEnd w:id="0"/>
      </w:tr>
    </w:tbl>
    <w:p w:rsidR="00791A7A" w:rsidRPr="00F60D1B" w:rsidRDefault="00791A7A" w:rsidP="00E13138">
      <w:pPr>
        <w:jc w:val="both"/>
        <w:rPr>
          <w:color w:val="000000" w:themeColor="text1"/>
        </w:rPr>
      </w:pPr>
    </w:p>
    <w:sectPr w:rsidR="00791A7A" w:rsidRPr="00F60D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B0"/>
    <w:rsid w:val="000B4B93"/>
    <w:rsid w:val="004275B0"/>
    <w:rsid w:val="00535BCF"/>
    <w:rsid w:val="00661504"/>
    <w:rsid w:val="00791A7A"/>
    <w:rsid w:val="00CC2C14"/>
    <w:rsid w:val="00E13138"/>
    <w:rsid w:val="00F60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CF"/>
  </w:style>
  <w:style w:type="paragraph" w:styleId="Titre1">
    <w:name w:val="heading 1"/>
    <w:basedOn w:val="Normal"/>
    <w:next w:val="Normal"/>
    <w:link w:val="Titre1Car"/>
    <w:uiPriority w:val="9"/>
    <w:qFormat/>
    <w:rsid w:val="00535B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CF"/>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link w:val="SansinterligneCar"/>
    <w:uiPriority w:val="1"/>
    <w:qFormat/>
    <w:rsid w:val="00535BC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35BCF"/>
    <w:rPr>
      <w:rFonts w:eastAsiaTheme="minorEastAsia"/>
    </w:rPr>
  </w:style>
  <w:style w:type="paragraph" w:styleId="Paragraphedeliste">
    <w:name w:val="List Paragraph"/>
    <w:basedOn w:val="Normal"/>
    <w:uiPriority w:val="34"/>
    <w:qFormat/>
    <w:rsid w:val="00535BCF"/>
    <w:pPr>
      <w:ind w:left="720"/>
      <w:contextualSpacing/>
    </w:pPr>
  </w:style>
  <w:style w:type="paragraph" w:customStyle="1" w:styleId="Default">
    <w:name w:val="Default"/>
    <w:rsid w:val="004275B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CF"/>
  </w:style>
  <w:style w:type="paragraph" w:styleId="Titre1">
    <w:name w:val="heading 1"/>
    <w:basedOn w:val="Normal"/>
    <w:next w:val="Normal"/>
    <w:link w:val="Titre1Car"/>
    <w:uiPriority w:val="9"/>
    <w:qFormat/>
    <w:rsid w:val="00535B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BCF"/>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link w:val="SansinterligneCar"/>
    <w:uiPriority w:val="1"/>
    <w:qFormat/>
    <w:rsid w:val="00535BC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35BCF"/>
    <w:rPr>
      <w:rFonts w:eastAsiaTheme="minorEastAsia"/>
    </w:rPr>
  </w:style>
  <w:style w:type="paragraph" w:styleId="Paragraphedeliste">
    <w:name w:val="List Paragraph"/>
    <w:basedOn w:val="Normal"/>
    <w:uiPriority w:val="34"/>
    <w:qFormat/>
    <w:rsid w:val="00535BCF"/>
    <w:pPr>
      <w:ind w:left="720"/>
      <w:contextualSpacing/>
    </w:pPr>
  </w:style>
  <w:style w:type="paragraph" w:customStyle="1" w:styleId="Default">
    <w:name w:val="Default"/>
    <w:rsid w:val="004275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7CA1-17CE-4251-A28F-E4E2BCC5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911</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djena ba</dc:creator>
  <cp:lastModifiedBy>djena ba</cp:lastModifiedBy>
  <cp:revision>4</cp:revision>
  <dcterms:created xsi:type="dcterms:W3CDTF">2016-05-13T23:03:00Z</dcterms:created>
  <dcterms:modified xsi:type="dcterms:W3CDTF">2016-05-13T23:37:00Z</dcterms:modified>
</cp:coreProperties>
</file>